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A50CB9" w14:textId="77777777" w:rsidR="005E4DD6" w:rsidRPr="008C17AC" w:rsidRDefault="005E4DD6" w:rsidP="005E4DD6">
      <w:pPr>
        <w:spacing w:after="120" w:line="360" w:lineRule="auto"/>
        <w:ind w:right="-20"/>
        <w:rPr>
          <w:rFonts w:ascii="Times New Roman" w:hAnsi="Times New Roman" w:cs="Times New Roman"/>
        </w:rPr>
      </w:pPr>
    </w:p>
    <w:p w14:paraId="7974BF0F" w14:textId="2D6F0452" w:rsidR="00B8773F" w:rsidRPr="008C17AC" w:rsidRDefault="3D39F25D" w:rsidP="005E4DD6">
      <w:pPr>
        <w:spacing w:after="120" w:line="360" w:lineRule="auto"/>
        <w:ind w:right="-20"/>
        <w:rPr>
          <w:rFonts w:ascii="Times New Roman" w:eastAsia="Times New Roman" w:hAnsi="Times New Roman" w:cs="Times New Roman"/>
          <w:b/>
          <w:bCs/>
        </w:rPr>
      </w:pPr>
      <w:r w:rsidRPr="008C17AC">
        <w:rPr>
          <w:rFonts w:ascii="Times New Roman" w:eastAsia="Times New Roman" w:hAnsi="Times New Roman" w:cs="Times New Roman"/>
          <w:b/>
          <w:bCs/>
        </w:rPr>
        <w:t xml:space="preserve">Open Science </w:t>
      </w:r>
      <w:r w:rsidR="31E01B04" w:rsidRPr="008C17AC">
        <w:rPr>
          <w:rFonts w:ascii="Times New Roman" w:eastAsia="Times New Roman" w:hAnsi="Times New Roman" w:cs="Times New Roman"/>
          <w:b/>
          <w:bCs/>
        </w:rPr>
        <w:t>i</w:t>
      </w:r>
      <w:r w:rsidR="7A68712F" w:rsidRPr="008C17AC">
        <w:rPr>
          <w:rFonts w:ascii="Times New Roman" w:eastAsia="Times New Roman" w:hAnsi="Times New Roman" w:cs="Times New Roman"/>
          <w:b/>
          <w:bCs/>
        </w:rPr>
        <w:t>nterventions to improve</w:t>
      </w:r>
      <w:r w:rsidR="3D80681C" w:rsidRPr="008C17AC">
        <w:rPr>
          <w:rFonts w:ascii="Times New Roman" w:eastAsia="Times New Roman" w:hAnsi="Times New Roman" w:cs="Times New Roman"/>
          <w:b/>
          <w:bCs/>
        </w:rPr>
        <w:t xml:space="preserve"> </w:t>
      </w:r>
      <w:r w:rsidR="7A68712F" w:rsidRPr="008C17AC">
        <w:rPr>
          <w:rFonts w:ascii="Times New Roman" w:eastAsia="Times New Roman" w:hAnsi="Times New Roman" w:cs="Times New Roman"/>
          <w:b/>
          <w:bCs/>
        </w:rPr>
        <w:t xml:space="preserve">reproducibility </w:t>
      </w:r>
      <w:r w:rsidR="3BCDF9B5" w:rsidRPr="008C17AC">
        <w:rPr>
          <w:rFonts w:ascii="Times New Roman" w:eastAsia="Times New Roman" w:hAnsi="Times New Roman" w:cs="Times New Roman"/>
          <w:b/>
          <w:bCs/>
        </w:rPr>
        <w:t>and replicability</w:t>
      </w:r>
      <w:r w:rsidR="2E6501EB" w:rsidRPr="008C17AC">
        <w:rPr>
          <w:rFonts w:ascii="Times New Roman" w:eastAsia="Times New Roman" w:hAnsi="Times New Roman" w:cs="Times New Roman"/>
          <w:b/>
          <w:bCs/>
        </w:rPr>
        <w:t xml:space="preserve"> of research</w:t>
      </w:r>
      <w:r w:rsidR="7A68712F" w:rsidRPr="008C17AC">
        <w:rPr>
          <w:rFonts w:ascii="Times New Roman" w:eastAsia="Times New Roman" w:hAnsi="Times New Roman" w:cs="Times New Roman"/>
          <w:b/>
          <w:bCs/>
        </w:rPr>
        <w:t>: a scoping review</w:t>
      </w:r>
    </w:p>
    <w:p w14:paraId="17687C75" w14:textId="2F1C0924" w:rsidR="00B8773F" w:rsidRPr="008C17AC" w:rsidRDefault="00B8773F" w:rsidP="23EF21E2">
      <w:pPr>
        <w:spacing w:after="120" w:line="360" w:lineRule="auto"/>
        <w:ind w:right="-20" w:firstLine="567"/>
        <w:rPr>
          <w:rFonts w:ascii="Times New Roman" w:eastAsia="Times New Roman" w:hAnsi="Times New Roman" w:cs="Times New Roman"/>
          <w:b/>
          <w:bCs/>
        </w:rPr>
      </w:pPr>
    </w:p>
    <w:p w14:paraId="61976858" w14:textId="607D60F4" w:rsidR="00B8773F" w:rsidRPr="008C17AC" w:rsidRDefault="3B9CA40D" w:rsidP="23EF21E2">
      <w:pPr>
        <w:spacing w:after="120" w:line="360" w:lineRule="auto"/>
        <w:ind w:right="-20" w:firstLine="567"/>
        <w:rPr>
          <w:rFonts w:ascii="Times New Roman" w:eastAsia="Times New Roman" w:hAnsi="Times New Roman" w:cs="Times New Roman"/>
          <w:vertAlign w:val="superscript"/>
        </w:rPr>
      </w:pPr>
      <w:r w:rsidRPr="008C17AC">
        <w:rPr>
          <w:rFonts w:ascii="Times New Roman" w:eastAsia="Times New Roman" w:hAnsi="Times New Roman" w:cs="Times New Roman"/>
        </w:rPr>
        <w:t>Leonie Dudd</w:t>
      </w:r>
      <w:r w:rsidR="4E315366" w:rsidRPr="008C17AC">
        <w:rPr>
          <w:rFonts w:ascii="Times New Roman" w:eastAsia="Times New Roman" w:hAnsi="Times New Roman" w:cs="Times New Roman"/>
        </w:rPr>
        <w:t>a</w:t>
      </w:r>
      <w:r w:rsidR="3602F07E" w:rsidRPr="008C17AC">
        <w:rPr>
          <w:rFonts w:ascii="Times New Roman" w:eastAsia="Times New Roman" w:hAnsi="Times New Roman" w:cs="Times New Roman"/>
          <w:vertAlign w:val="superscript"/>
        </w:rPr>
        <w:t>1,2</w:t>
      </w:r>
      <w:r w:rsidRPr="008C17AC">
        <w:rPr>
          <w:rFonts w:ascii="Times New Roman" w:eastAsia="Times New Roman" w:hAnsi="Times New Roman" w:cs="Times New Roman"/>
        </w:rPr>
        <w:t>, Eva Kormann</w:t>
      </w:r>
      <w:r w:rsidR="20EC4E06" w:rsidRPr="008C17AC">
        <w:rPr>
          <w:rFonts w:ascii="Times New Roman" w:eastAsia="Times New Roman" w:hAnsi="Times New Roman" w:cs="Times New Roman"/>
          <w:vertAlign w:val="superscript"/>
        </w:rPr>
        <w:t>3</w:t>
      </w:r>
      <w:r w:rsidRPr="008C17AC">
        <w:rPr>
          <w:rFonts w:ascii="Times New Roman" w:eastAsia="Times New Roman" w:hAnsi="Times New Roman" w:cs="Times New Roman"/>
        </w:rPr>
        <w:t>, Magdalena Kozula</w:t>
      </w:r>
      <w:r w:rsidR="58F61525" w:rsidRPr="008C17AC">
        <w:rPr>
          <w:rFonts w:ascii="Times New Roman" w:eastAsia="Times New Roman" w:hAnsi="Times New Roman" w:cs="Times New Roman"/>
          <w:vertAlign w:val="superscript"/>
        </w:rPr>
        <w:t>4</w:t>
      </w:r>
      <w:r w:rsidRPr="008C17AC">
        <w:rPr>
          <w:rFonts w:ascii="Times New Roman" w:eastAsia="Times New Roman" w:hAnsi="Times New Roman" w:cs="Times New Roman"/>
        </w:rPr>
        <w:t>, Nicholas</w:t>
      </w:r>
      <w:r w:rsidR="52CC5050" w:rsidRPr="008C17AC">
        <w:rPr>
          <w:rFonts w:ascii="Times New Roman" w:eastAsia="Times New Roman" w:hAnsi="Times New Roman" w:cs="Times New Roman"/>
        </w:rPr>
        <w:t xml:space="preserve"> J.</w:t>
      </w:r>
      <w:r w:rsidRPr="008C17AC">
        <w:rPr>
          <w:rFonts w:ascii="Times New Roman" w:eastAsia="Times New Roman" w:hAnsi="Times New Roman" w:cs="Times New Roman"/>
        </w:rPr>
        <w:t xml:space="preserve"> </w:t>
      </w:r>
      <w:r w:rsidR="101CCE02" w:rsidRPr="008C17AC">
        <w:rPr>
          <w:rFonts w:ascii="Times New Roman" w:eastAsia="Times New Roman" w:hAnsi="Times New Roman" w:cs="Times New Roman"/>
        </w:rPr>
        <w:t>De</w:t>
      </w:r>
      <w:r w:rsidRPr="008C17AC">
        <w:rPr>
          <w:rFonts w:ascii="Times New Roman" w:eastAsia="Times New Roman" w:hAnsi="Times New Roman" w:cs="Times New Roman"/>
        </w:rPr>
        <w:t>Vito</w:t>
      </w:r>
      <w:r w:rsidR="23279023" w:rsidRPr="008C17AC">
        <w:rPr>
          <w:rFonts w:ascii="Times New Roman" w:eastAsia="Times New Roman" w:hAnsi="Times New Roman" w:cs="Times New Roman"/>
          <w:vertAlign w:val="superscript"/>
        </w:rPr>
        <w:t>5</w:t>
      </w:r>
      <w:r w:rsidRPr="008C17AC">
        <w:rPr>
          <w:rFonts w:ascii="Times New Roman" w:eastAsia="Times New Roman" w:hAnsi="Times New Roman" w:cs="Times New Roman"/>
        </w:rPr>
        <w:t>, Thomas Klebel</w:t>
      </w:r>
      <w:r w:rsidR="5209DE5D" w:rsidRPr="008C17AC">
        <w:rPr>
          <w:rFonts w:ascii="Times New Roman" w:eastAsia="Times New Roman" w:hAnsi="Times New Roman" w:cs="Times New Roman"/>
          <w:vertAlign w:val="superscript"/>
        </w:rPr>
        <w:t>10</w:t>
      </w:r>
      <w:r w:rsidRPr="008C17AC">
        <w:rPr>
          <w:rFonts w:ascii="Times New Roman" w:eastAsia="Times New Roman" w:hAnsi="Times New Roman" w:cs="Times New Roman"/>
        </w:rPr>
        <w:t xml:space="preserve">, Ayu </w:t>
      </w:r>
      <w:r w:rsidR="67B2E1A5" w:rsidRPr="008C17AC">
        <w:rPr>
          <w:rFonts w:ascii="Times New Roman" w:eastAsia="Times New Roman" w:hAnsi="Times New Roman" w:cs="Times New Roman"/>
        </w:rPr>
        <w:t xml:space="preserve">P.M. </w:t>
      </w:r>
      <w:r w:rsidRPr="008C17AC">
        <w:rPr>
          <w:rFonts w:ascii="Times New Roman" w:eastAsia="Times New Roman" w:hAnsi="Times New Roman" w:cs="Times New Roman"/>
        </w:rPr>
        <w:t>Dewi</w:t>
      </w:r>
      <w:r w:rsidR="3BD52F6B" w:rsidRPr="008C17AC">
        <w:rPr>
          <w:rFonts w:ascii="Times New Roman" w:eastAsia="Times New Roman" w:hAnsi="Times New Roman" w:cs="Times New Roman"/>
          <w:vertAlign w:val="superscript"/>
        </w:rPr>
        <w:t>6</w:t>
      </w:r>
      <w:r w:rsidRPr="008C17AC">
        <w:rPr>
          <w:rFonts w:ascii="Times New Roman" w:eastAsia="Times New Roman" w:hAnsi="Times New Roman" w:cs="Times New Roman"/>
        </w:rPr>
        <w:t>, René Spijker</w:t>
      </w:r>
      <w:r w:rsidR="778DE11B" w:rsidRPr="008C17AC">
        <w:rPr>
          <w:rFonts w:ascii="Times New Roman" w:eastAsia="Times New Roman" w:hAnsi="Times New Roman" w:cs="Times New Roman"/>
          <w:vertAlign w:val="superscript"/>
        </w:rPr>
        <w:t>7,8</w:t>
      </w:r>
      <w:r w:rsidRPr="008C17AC">
        <w:rPr>
          <w:rFonts w:ascii="Times New Roman" w:eastAsia="Times New Roman" w:hAnsi="Times New Roman" w:cs="Times New Roman"/>
        </w:rPr>
        <w:t>, Inge Stegeman</w:t>
      </w:r>
      <w:r w:rsidR="5A40BD56" w:rsidRPr="008C17AC">
        <w:rPr>
          <w:rFonts w:ascii="Times New Roman" w:eastAsia="Times New Roman" w:hAnsi="Times New Roman" w:cs="Times New Roman"/>
          <w:vertAlign w:val="superscript"/>
        </w:rPr>
        <w:t>1,2</w:t>
      </w:r>
      <w:r w:rsidRPr="008C17AC">
        <w:rPr>
          <w:rFonts w:ascii="Times New Roman" w:eastAsia="Times New Roman" w:hAnsi="Times New Roman" w:cs="Times New Roman"/>
        </w:rPr>
        <w:t xml:space="preserve">, Veerle </w:t>
      </w:r>
      <w:r w:rsidR="2205F662" w:rsidRPr="008C17AC">
        <w:rPr>
          <w:rFonts w:ascii="Times New Roman" w:eastAsia="Times New Roman" w:hAnsi="Times New Roman" w:cs="Times New Roman"/>
        </w:rPr>
        <w:t>V</w:t>
      </w:r>
      <w:r w:rsidRPr="008C17AC">
        <w:rPr>
          <w:rFonts w:ascii="Times New Roman" w:eastAsia="Times New Roman" w:hAnsi="Times New Roman" w:cs="Times New Roman"/>
        </w:rPr>
        <w:t>an den Eynden</w:t>
      </w:r>
      <w:r w:rsidR="5E3AE371" w:rsidRPr="008C17AC">
        <w:rPr>
          <w:rFonts w:ascii="Times New Roman" w:eastAsia="Times New Roman" w:hAnsi="Times New Roman" w:cs="Times New Roman"/>
          <w:vertAlign w:val="superscript"/>
        </w:rPr>
        <w:t>9</w:t>
      </w:r>
      <w:r w:rsidRPr="008C17AC">
        <w:rPr>
          <w:rFonts w:ascii="Times New Roman" w:eastAsia="Times New Roman" w:hAnsi="Times New Roman" w:cs="Times New Roman"/>
        </w:rPr>
        <w:t>, Tony Ross-Hellauer</w:t>
      </w:r>
      <w:r w:rsidR="02FB5346" w:rsidRPr="008C17AC">
        <w:rPr>
          <w:rFonts w:ascii="Times New Roman" w:eastAsia="Times New Roman" w:hAnsi="Times New Roman" w:cs="Times New Roman"/>
          <w:vertAlign w:val="superscript"/>
        </w:rPr>
        <w:t>3,10</w:t>
      </w:r>
      <w:r w:rsidRPr="008C17AC">
        <w:rPr>
          <w:rFonts w:ascii="Times New Roman" w:eastAsia="Times New Roman" w:hAnsi="Times New Roman" w:cs="Times New Roman"/>
        </w:rPr>
        <w:t xml:space="preserve">, Mariska </w:t>
      </w:r>
      <w:r w:rsidR="005E4DD6" w:rsidRPr="008C17AC">
        <w:rPr>
          <w:rFonts w:ascii="Times New Roman" w:eastAsia="Times New Roman" w:hAnsi="Times New Roman" w:cs="Times New Roman"/>
        </w:rPr>
        <w:t xml:space="preserve">M.G. </w:t>
      </w:r>
      <w:r w:rsidRPr="008C17AC">
        <w:rPr>
          <w:rFonts w:ascii="Times New Roman" w:eastAsia="Times New Roman" w:hAnsi="Times New Roman" w:cs="Times New Roman"/>
        </w:rPr>
        <w:t>Leeflang*</w:t>
      </w:r>
      <w:r w:rsidR="4072B332" w:rsidRPr="008C17AC">
        <w:rPr>
          <w:rFonts w:ascii="Times New Roman" w:eastAsia="Times New Roman" w:hAnsi="Times New Roman" w:cs="Times New Roman"/>
          <w:vertAlign w:val="superscript"/>
        </w:rPr>
        <w:t>6</w:t>
      </w:r>
    </w:p>
    <w:p w14:paraId="60F3B5EE" w14:textId="4F3FE248" w:rsidR="515ADF19" w:rsidRPr="008C17AC" w:rsidRDefault="515ADF19" w:rsidP="23EF21E2">
      <w:pPr>
        <w:spacing w:after="120" w:line="360" w:lineRule="auto"/>
        <w:ind w:right="-20" w:firstLine="567"/>
        <w:rPr>
          <w:rFonts w:ascii="Times New Roman" w:eastAsia="Times New Roman" w:hAnsi="Times New Roman" w:cs="Times New Roman"/>
        </w:rPr>
      </w:pPr>
    </w:p>
    <w:p w14:paraId="05E688BA" w14:textId="4A57D6D1" w:rsidR="00B8773F" w:rsidRPr="008C17AC" w:rsidRDefault="67A565F9" w:rsidP="23EF21E2">
      <w:pPr>
        <w:pStyle w:val="Lijstalinea"/>
        <w:numPr>
          <w:ilvl w:val="0"/>
          <w:numId w:val="1"/>
        </w:numPr>
        <w:spacing w:after="0" w:line="360" w:lineRule="auto"/>
        <w:rPr>
          <w:rFonts w:ascii="Times New Roman" w:eastAsia="Times New Roman" w:hAnsi="Times New Roman" w:cs="Times New Roman"/>
        </w:rPr>
      </w:pPr>
      <w:r w:rsidRPr="008C17AC">
        <w:rPr>
          <w:rFonts w:ascii="Times New Roman" w:eastAsia="Times New Roman" w:hAnsi="Times New Roman" w:cs="Times New Roman"/>
        </w:rPr>
        <w:t>Department of Otorhinolaryngology and Head &amp; Neck Surgery University Medical Center Utrecht</w:t>
      </w:r>
      <w:r w:rsidR="3CA2BD85" w:rsidRPr="008C17AC">
        <w:rPr>
          <w:rFonts w:ascii="Times New Roman" w:eastAsia="Times New Roman" w:hAnsi="Times New Roman" w:cs="Times New Roman"/>
        </w:rPr>
        <w:t>,</w:t>
      </w:r>
      <w:r w:rsidRPr="008C17AC">
        <w:rPr>
          <w:rFonts w:ascii="Times New Roman" w:eastAsia="Times New Roman" w:hAnsi="Times New Roman" w:cs="Times New Roman"/>
        </w:rPr>
        <w:t xml:space="preserve"> Utrecht</w:t>
      </w:r>
      <w:r w:rsidR="6E8B0358" w:rsidRPr="008C17AC">
        <w:rPr>
          <w:rFonts w:ascii="Times New Roman" w:eastAsia="Times New Roman" w:hAnsi="Times New Roman" w:cs="Times New Roman"/>
        </w:rPr>
        <w:t xml:space="preserve">, </w:t>
      </w:r>
      <w:r w:rsidRPr="008C17AC">
        <w:rPr>
          <w:rFonts w:ascii="Times New Roman" w:eastAsia="Times New Roman" w:hAnsi="Times New Roman" w:cs="Times New Roman"/>
        </w:rPr>
        <w:t>The Netherlands.</w:t>
      </w:r>
    </w:p>
    <w:p w14:paraId="5995F0F6" w14:textId="0F4A82CD" w:rsidR="004D60C2" w:rsidRPr="008C17AC" w:rsidRDefault="3F016F17" w:rsidP="23EF21E2">
      <w:pPr>
        <w:pStyle w:val="Lijstalinea"/>
        <w:numPr>
          <w:ilvl w:val="0"/>
          <w:numId w:val="1"/>
        </w:numPr>
        <w:spacing w:after="0" w:line="360" w:lineRule="auto"/>
        <w:rPr>
          <w:rFonts w:ascii="Times New Roman" w:eastAsia="Times New Roman" w:hAnsi="Times New Roman" w:cs="Times New Roman"/>
        </w:rPr>
      </w:pPr>
      <w:r w:rsidRPr="008C17AC">
        <w:rPr>
          <w:rFonts w:ascii="Times New Roman" w:eastAsia="Times New Roman" w:hAnsi="Times New Roman" w:cs="Times New Roman"/>
        </w:rPr>
        <w:t>Brain Center, University Medical Center Utrecht</w:t>
      </w:r>
      <w:r w:rsidR="2D2D8BF2" w:rsidRPr="008C17AC">
        <w:rPr>
          <w:rFonts w:ascii="Times New Roman" w:eastAsia="Times New Roman" w:hAnsi="Times New Roman" w:cs="Times New Roman"/>
        </w:rPr>
        <w:t>,</w:t>
      </w:r>
      <w:r w:rsidRPr="008C17AC">
        <w:rPr>
          <w:rFonts w:ascii="Times New Roman" w:eastAsia="Times New Roman" w:hAnsi="Times New Roman" w:cs="Times New Roman"/>
        </w:rPr>
        <w:t xml:space="preserve"> Utrecht, The Netherlands.</w:t>
      </w:r>
    </w:p>
    <w:p w14:paraId="25B61B35" w14:textId="4A34F8D6" w:rsidR="00D4411A" w:rsidRPr="008C17AC" w:rsidRDefault="43E14EB4" w:rsidP="23EF21E2">
      <w:pPr>
        <w:pStyle w:val="Lijstalinea"/>
        <w:numPr>
          <w:ilvl w:val="0"/>
          <w:numId w:val="1"/>
        </w:numPr>
        <w:spacing w:after="0" w:line="360" w:lineRule="auto"/>
        <w:rPr>
          <w:rFonts w:ascii="Times New Roman" w:eastAsia="Times New Roman" w:hAnsi="Times New Roman" w:cs="Times New Roman"/>
        </w:rPr>
      </w:pPr>
      <w:r w:rsidRPr="008C17AC">
        <w:rPr>
          <w:rFonts w:ascii="Times New Roman" w:eastAsia="Times New Roman" w:hAnsi="Times New Roman" w:cs="Times New Roman"/>
        </w:rPr>
        <w:t>Institute of Interactive Systems and Data Science, Graz University of Technology, Graz, Austria</w:t>
      </w:r>
      <w:r w:rsidR="00733121" w:rsidRPr="008C17AC">
        <w:rPr>
          <w:rFonts w:ascii="Times New Roman" w:eastAsia="Times New Roman" w:hAnsi="Times New Roman" w:cs="Times New Roman"/>
        </w:rPr>
        <w:t>.</w:t>
      </w:r>
    </w:p>
    <w:p w14:paraId="110B9122" w14:textId="77777777" w:rsidR="00D4411A" w:rsidRPr="008C17AC" w:rsidRDefault="0D4C61D4" w:rsidP="23EF21E2">
      <w:pPr>
        <w:pStyle w:val="Lijstalinea"/>
        <w:numPr>
          <w:ilvl w:val="0"/>
          <w:numId w:val="1"/>
        </w:numPr>
        <w:spacing w:after="0" w:line="360" w:lineRule="auto"/>
        <w:rPr>
          <w:rFonts w:ascii="Times New Roman" w:eastAsia="Times New Roman" w:hAnsi="Times New Roman" w:cs="Times New Roman"/>
        </w:rPr>
      </w:pPr>
      <w:r w:rsidRPr="008C17AC">
        <w:rPr>
          <w:rFonts w:ascii="Times New Roman" w:eastAsia="Times New Roman" w:hAnsi="Times New Roman" w:cs="Times New Roman"/>
        </w:rPr>
        <w:t>Faculty of Psychology and Educational Sciences, Methodology of Educational Sciences Research Group, KU Leuven, Leuven, Belgium</w:t>
      </w:r>
    </w:p>
    <w:p w14:paraId="0BA79E8E" w14:textId="77521ED8" w:rsidR="00D4411A" w:rsidRPr="008C17AC" w:rsidRDefault="00CE9CF3" w:rsidP="23EF21E2">
      <w:pPr>
        <w:pStyle w:val="Lijstalinea"/>
        <w:numPr>
          <w:ilvl w:val="0"/>
          <w:numId w:val="1"/>
        </w:numPr>
        <w:spacing w:after="0" w:line="360" w:lineRule="auto"/>
        <w:rPr>
          <w:rFonts w:ascii="Times New Roman" w:eastAsia="Times New Roman" w:hAnsi="Times New Roman" w:cs="Times New Roman"/>
        </w:rPr>
      </w:pPr>
      <w:r w:rsidRPr="008C17AC">
        <w:rPr>
          <w:rFonts w:ascii="Times New Roman" w:eastAsia="Times New Roman" w:hAnsi="Times New Roman" w:cs="Times New Roman"/>
        </w:rPr>
        <w:t xml:space="preserve">Bennett Institute for Applied Data Science, Nuffield </w:t>
      </w:r>
      <w:r w:rsidR="6F81A82F" w:rsidRPr="008C17AC">
        <w:rPr>
          <w:rFonts w:ascii="Times New Roman" w:eastAsia="Times New Roman" w:hAnsi="Times New Roman" w:cs="Times New Roman"/>
        </w:rPr>
        <w:t>Department</w:t>
      </w:r>
      <w:r w:rsidRPr="008C17AC">
        <w:rPr>
          <w:rFonts w:ascii="Times New Roman" w:eastAsia="Times New Roman" w:hAnsi="Times New Roman" w:cs="Times New Roman"/>
        </w:rPr>
        <w:t xml:space="preserve"> of Primary Care Health Sciences, University of Oxford, UK</w:t>
      </w:r>
    </w:p>
    <w:p w14:paraId="2755F5D1" w14:textId="77777777" w:rsidR="00D4411A" w:rsidRPr="008C17AC" w:rsidRDefault="1EDAAB7C" w:rsidP="23EF21E2">
      <w:pPr>
        <w:pStyle w:val="Lijstalinea"/>
        <w:numPr>
          <w:ilvl w:val="0"/>
          <w:numId w:val="1"/>
        </w:numPr>
        <w:spacing w:after="0" w:line="360" w:lineRule="auto"/>
        <w:rPr>
          <w:rFonts w:ascii="Times New Roman" w:eastAsia="Times New Roman" w:hAnsi="Times New Roman" w:cs="Times New Roman"/>
        </w:rPr>
      </w:pPr>
      <w:r w:rsidRPr="008C17AC">
        <w:rPr>
          <w:rFonts w:ascii="Times New Roman" w:eastAsia="Times New Roman" w:hAnsi="Times New Roman" w:cs="Times New Roman"/>
        </w:rPr>
        <w:t>Epidemiology and Data Science, Amsterdam Public Health, Amsterdam UMC, University of Amsterdam, Amsterdam, The Netherlands</w:t>
      </w:r>
    </w:p>
    <w:p w14:paraId="0FECDE60" w14:textId="2A05424B" w:rsidR="00D4411A" w:rsidRPr="008C17AC" w:rsidRDefault="004012A7" w:rsidP="23EF21E2">
      <w:pPr>
        <w:pStyle w:val="Lijstalinea"/>
        <w:numPr>
          <w:ilvl w:val="0"/>
          <w:numId w:val="1"/>
        </w:numPr>
        <w:spacing w:after="0" w:line="360" w:lineRule="auto"/>
        <w:rPr>
          <w:rFonts w:ascii="Times New Roman" w:eastAsia="Times New Roman" w:hAnsi="Times New Roman" w:cs="Times New Roman"/>
          <w:lang w:val="nl-NL"/>
        </w:rPr>
      </w:pPr>
      <w:r w:rsidRPr="008C17AC">
        <w:rPr>
          <w:rFonts w:ascii="Times New Roman" w:eastAsia="Times New Roman" w:hAnsi="Times New Roman" w:cs="Times New Roman"/>
          <w:lang w:val="nl-NL"/>
        </w:rPr>
        <w:t>Cochrane Netherlands, UMC Utrecht, Utrecht University, Utrecht, The Netherlands</w:t>
      </w:r>
    </w:p>
    <w:p w14:paraId="6A5475BB" w14:textId="77777777" w:rsidR="00D4411A" w:rsidRPr="008C17AC" w:rsidRDefault="3C263032" w:rsidP="23EF21E2">
      <w:pPr>
        <w:pStyle w:val="Lijstalinea"/>
        <w:numPr>
          <w:ilvl w:val="0"/>
          <w:numId w:val="1"/>
        </w:numPr>
        <w:spacing w:after="0" w:line="360" w:lineRule="auto"/>
        <w:rPr>
          <w:rFonts w:ascii="Times New Roman" w:eastAsia="Times New Roman" w:hAnsi="Times New Roman" w:cs="Times New Roman"/>
        </w:rPr>
      </w:pPr>
      <w:r w:rsidRPr="008C17AC">
        <w:rPr>
          <w:rFonts w:ascii="Times New Roman" w:eastAsia="Times New Roman" w:hAnsi="Times New Roman" w:cs="Times New Roman"/>
        </w:rPr>
        <w:t>Medical Library, Amsterdam Public Health, Amsterdam UMC, University of Amsterdam, Amsterdam, The Netherlands</w:t>
      </w:r>
    </w:p>
    <w:p w14:paraId="707CBB82" w14:textId="77777777" w:rsidR="00D4411A" w:rsidRPr="008C17AC" w:rsidRDefault="2944C78A" w:rsidP="23EF21E2">
      <w:pPr>
        <w:pStyle w:val="Lijstalinea"/>
        <w:numPr>
          <w:ilvl w:val="0"/>
          <w:numId w:val="1"/>
        </w:numPr>
        <w:spacing w:after="0" w:line="360" w:lineRule="auto"/>
        <w:rPr>
          <w:rFonts w:ascii="Times New Roman" w:eastAsia="Times New Roman" w:hAnsi="Times New Roman" w:cs="Times New Roman"/>
        </w:rPr>
      </w:pPr>
      <w:r w:rsidRPr="008C17AC">
        <w:rPr>
          <w:rFonts w:ascii="Times New Roman" w:eastAsia="Times New Roman" w:hAnsi="Times New Roman" w:cs="Times New Roman"/>
        </w:rPr>
        <w:t xml:space="preserve">Research </w:t>
      </w:r>
      <w:r w:rsidR="70FB6C2B" w:rsidRPr="008C17AC">
        <w:rPr>
          <w:rFonts w:ascii="Times New Roman" w:eastAsia="Times New Roman" w:hAnsi="Times New Roman" w:cs="Times New Roman"/>
        </w:rPr>
        <w:t>Data Management</w:t>
      </w:r>
      <w:r w:rsidR="7BA91726" w:rsidRPr="008C17AC">
        <w:rPr>
          <w:rFonts w:ascii="Times New Roman" w:eastAsia="Times New Roman" w:hAnsi="Times New Roman" w:cs="Times New Roman"/>
        </w:rPr>
        <w:t xml:space="preserve"> </w:t>
      </w:r>
      <w:r w:rsidRPr="008C17AC">
        <w:rPr>
          <w:rFonts w:ascii="Times New Roman" w:eastAsia="Times New Roman" w:hAnsi="Times New Roman" w:cs="Times New Roman"/>
        </w:rPr>
        <w:t>Competence Centre, KU Leuven, Leuven, Belgium</w:t>
      </w:r>
    </w:p>
    <w:p w14:paraId="14B9D5D5" w14:textId="77777777" w:rsidR="00D4411A" w:rsidRPr="008C17AC" w:rsidRDefault="30CC89E1" w:rsidP="23EF21E2">
      <w:pPr>
        <w:pStyle w:val="Lijstalinea"/>
        <w:numPr>
          <w:ilvl w:val="0"/>
          <w:numId w:val="1"/>
        </w:numPr>
        <w:spacing w:after="0" w:line="360" w:lineRule="auto"/>
        <w:rPr>
          <w:rFonts w:ascii="Times New Roman" w:eastAsia="Times New Roman" w:hAnsi="Times New Roman" w:cs="Times New Roman"/>
        </w:rPr>
      </w:pPr>
      <w:r w:rsidRPr="008C17AC">
        <w:rPr>
          <w:rFonts w:ascii="Times New Roman" w:eastAsia="Times New Roman" w:hAnsi="Times New Roman" w:cs="Times New Roman"/>
        </w:rPr>
        <w:t>Open &amp; Reproducible Research Group, Know-Center GmbH, Graz, Austria</w:t>
      </w:r>
    </w:p>
    <w:p w14:paraId="48D66C0A" w14:textId="77777777" w:rsidR="00733121" w:rsidRPr="008C17AC" w:rsidRDefault="00733121" w:rsidP="23EF21E2">
      <w:pPr>
        <w:rPr>
          <w:rFonts w:ascii="Times New Roman" w:eastAsia="Times New Roman" w:hAnsi="Times New Roman" w:cs="Times New Roman"/>
        </w:rPr>
      </w:pPr>
    </w:p>
    <w:p w14:paraId="290D6D8E" w14:textId="1522C9A6" w:rsidR="00D4411A" w:rsidRPr="008C17AC" w:rsidRDefault="00733121" w:rsidP="23EF21E2">
      <w:pPr>
        <w:rPr>
          <w:rFonts w:ascii="Times New Roman" w:eastAsia="Times New Roman" w:hAnsi="Times New Roman" w:cs="Times New Roman"/>
        </w:rPr>
      </w:pPr>
      <w:r w:rsidRPr="008C17AC">
        <w:rPr>
          <w:rFonts w:ascii="Times New Roman" w:eastAsia="Times New Roman" w:hAnsi="Times New Roman" w:cs="Times New Roman"/>
        </w:rPr>
        <w:t xml:space="preserve">* M.M.G. Leeflang is corresponding author. </w:t>
      </w:r>
      <w:r w:rsidR="00D4411A" w:rsidRPr="008C17AC">
        <w:rPr>
          <w:rFonts w:ascii="Times New Roman" w:eastAsia="Times New Roman" w:hAnsi="Times New Roman" w:cs="Times New Roman"/>
        </w:rPr>
        <w:br w:type="page"/>
      </w:r>
    </w:p>
    <w:p w14:paraId="0B1DCA4B" w14:textId="77777777" w:rsidR="00D4411A" w:rsidRPr="008C17AC" w:rsidRDefault="3E5A55E0" w:rsidP="23EF21E2">
      <w:pPr>
        <w:spacing w:after="0" w:line="360" w:lineRule="auto"/>
        <w:rPr>
          <w:rFonts w:ascii="Times New Roman" w:eastAsia="Times New Roman" w:hAnsi="Times New Roman" w:cs="Times New Roman"/>
          <w:b/>
          <w:bCs/>
        </w:rPr>
      </w:pPr>
      <w:r w:rsidRPr="008C17AC">
        <w:rPr>
          <w:rFonts w:ascii="Times New Roman" w:eastAsia="Times New Roman" w:hAnsi="Times New Roman" w:cs="Times New Roman"/>
          <w:b/>
          <w:bCs/>
        </w:rPr>
        <w:lastRenderedPageBreak/>
        <w:t>Abstract</w:t>
      </w:r>
    </w:p>
    <w:p w14:paraId="4F5D6C71" w14:textId="131C5170" w:rsidR="00AC2E5F" w:rsidRPr="008C17AC" w:rsidRDefault="0E2E4EE7" w:rsidP="23EF21E2">
      <w:pPr>
        <w:spacing w:line="360" w:lineRule="auto"/>
        <w:ind w:firstLine="720"/>
        <w:rPr>
          <w:rFonts w:ascii="Times New Roman" w:eastAsia="Times New Roman" w:hAnsi="Times New Roman" w:cs="Times New Roman"/>
        </w:rPr>
      </w:pPr>
      <w:r w:rsidRPr="008C17AC">
        <w:rPr>
          <w:rFonts w:ascii="Times New Roman" w:eastAsia="Times New Roman" w:hAnsi="Times New Roman" w:cs="Times New Roman"/>
        </w:rPr>
        <w:t xml:space="preserve">Various </w:t>
      </w:r>
      <w:r w:rsidR="552E127D" w:rsidRPr="008C17AC">
        <w:rPr>
          <w:rFonts w:ascii="Times New Roman" w:eastAsia="Times New Roman" w:hAnsi="Times New Roman" w:cs="Times New Roman"/>
        </w:rPr>
        <w:t>interventions</w:t>
      </w:r>
      <w:r w:rsidRPr="008C17AC">
        <w:rPr>
          <w:rFonts w:ascii="Times New Roman" w:eastAsia="Times New Roman" w:hAnsi="Times New Roman" w:cs="Times New Roman"/>
        </w:rPr>
        <w:t xml:space="preserve"> </w:t>
      </w:r>
      <w:r w:rsidR="0EF95620" w:rsidRPr="008C17AC">
        <w:rPr>
          <w:rFonts w:ascii="Times New Roman" w:eastAsia="Times New Roman" w:hAnsi="Times New Roman" w:cs="Times New Roman"/>
        </w:rPr>
        <w:t xml:space="preserve">– especially those related to open science – </w:t>
      </w:r>
      <w:r w:rsidRPr="008C17AC">
        <w:rPr>
          <w:rFonts w:ascii="Times New Roman" w:eastAsia="Times New Roman" w:hAnsi="Times New Roman" w:cs="Times New Roman"/>
        </w:rPr>
        <w:t>have</w:t>
      </w:r>
      <w:r w:rsidR="0EF95620" w:rsidRPr="008C17AC">
        <w:rPr>
          <w:rFonts w:ascii="Times New Roman" w:eastAsia="Times New Roman" w:hAnsi="Times New Roman" w:cs="Times New Roman"/>
        </w:rPr>
        <w:t xml:space="preserve"> </w:t>
      </w:r>
      <w:r w:rsidRPr="008C17AC">
        <w:rPr>
          <w:rFonts w:ascii="Times New Roman" w:eastAsia="Times New Roman" w:hAnsi="Times New Roman" w:cs="Times New Roman"/>
        </w:rPr>
        <w:t xml:space="preserve">been </w:t>
      </w:r>
      <w:r w:rsidR="552E127D" w:rsidRPr="008C17AC">
        <w:rPr>
          <w:rFonts w:ascii="Times New Roman" w:eastAsia="Times New Roman" w:hAnsi="Times New Roman" w:cs="Times New Roman"/>
        </w:rPr>
        <w:t>proposed</w:t>
      </w:r>
      <w:r w:rsidRPr="008C17AC">
        <w:rPr>
          <w:rFonts w:ascii="Times New Roman" w:eastAsia="Times New Roman" w:hAnsi="Times New Roman" w:cs="Times New Roman"/>
        </w:rPr>
        <w:t xml:space="preserve"> to </w:t>
      </w:r>
      <w:r w:rsidR="552E127D" w:rsidRPr="008C17AC">
        <w:rPr>
          <w:rFonts w:ascii="Times New Roman" w:eastAsia="Times New Roman" w:hAnsi="Times New Roman" w:cs="Times New Roman"/>
        </w:rPr>
        <w:t>improve the</w:t>
      </w:r>
      <w:r w:rsidRPr="008C17AC">
        <w:rPr>
          <w:rFonts w:ascii="Times New Roman" w:eastAsia="Times New Roman" w:hAnsi="Times New Roman" w:cs="Times New Roman"/>
        </w:rPr>
        <w:t xml:space="preserve"> reproducibility</w:t>
      </w:r>
      <w:r w:rsidR="552E127D" w:rsidRPr="008C17AC">
        <w:rPr>
          <w:rFonts w:ascii="Times New Roman" w:eastAsia="Times New Roman" w:hAnsi="Times New Roman" w:cs="Times New Roman"/>
        </w:rPr>
        <w:t xml:space="preserve"> and replicability of scientific research. To assess whether and which interventions have been formally tested for their effectiveness</w:t>
      </w:r>
      <w:r w:rsidR="0EF95620" w:rsidRPr="008C17AC">
        <w:rPr>
          <w:rFonts w:ascii="Times New Roman" w:eastAsia="Times New Roman" w:hAnsi="Times New Roman" w:cs="Times New Roman"/>
        </w:rPr>
        <w:t xml:space="preserve"> in improving reproducibility and replicability</w:t>
      </w:r>
      <w:r w:rsidR="552E127D" w:rsidRPr="008C17AC">
        <w:rPr>
          <w:rFonts w:ascii="Times New Roman" w:eastAsia="Times New Roman" w:hAnsi="Times New Roman" w:cs="Times New Roman"/>
        </w:rPr>
        <w:t xml:space="preserve">, we conducted a scoping review of the literature on interventions to </w:t>
      </w:r>
      <w:r w:rsidR="0058510F" w:rsidRPr="008C17AC">
        <w:rPr>
          <w:rFonts w:ascii="Times New Roman" w:eastAsia="Times New Roman" w:hAnsi="Times New Roman" w:cs="Times New Roman"/>
        </w:rPr>
        <w:t>improve</w:t>
      </w:r>
      <w:r w:rsidR="552E127D" w:rsidRPr="008C17AC">
        <w:rPr>
          <w:rFonts w:ascii="Times New Roman" w:eastAsia="Times New Roman" w:hAnsi="Times New Roman" w:cs="Times New Roman"/>
        </w:rPr>
        <w:t xml:space="preserve"> reproducibility. </w:t>
      </w:r>
      <w:r w:rsidR="631A1EA5" w:rsidRPr="008C17AC">
        <w:rPr>
          <w:rFonts w:ascii="Times New Roman" w:eastAsia="Times New Roman" w:hAnsi="Times New Roman" w:cs="Times New Roman"/>
        </w:rPr>
        <w:t xml:space="preserve">We systematically searched </w:t>
      </w:r>
      <w:hyperlink r:id="rId11">
        <w:r w:rsidR="631A1EA5" w:rsidRPr="008C17AC">
          <w:rPr>
            <w:rStyle w:val="Hyperlink"/>
            <w:rFonts w:ascii="Times New Roman" w:eastAsia="Times New Roman" w:hAnsi="Times New Roman" w:cs="Times New Roman"/>
            <w:color w:val="auto"/>
            <w:u w:val="none"/>
          </w:rPr>
          <w:t>Medline</w:t>
        </w:r>
      </w:hyperlink>
      <w:r w:rsidR="631A1EA5" w:rsidRPr="008C17AC">
        <w:rPr>
          <w:rFonts w:ascii="Times New Roman" w:eastAsia="Times New Roman" w:hAnsi="Times New Roman" w:cs="Times New Roman"/>
        </w:rPr>
        <w:t xml:space="preserve">, </w:t>
      </w:r>
      <w:hyperlink r:id="rId12">
        <w:r w:rsidR="631A1EA5" w:rsidRPr="008C17AC">
          <w:rPr>
            <w:rStyle w:val="Hyperlink"/>
            <w:rFonts w:ascii="Times New Roman" w:eastAsia="Times New Roman" w:hAnsi="Times New Roman" w:cs="Times New Roman"/>
            <w:color w:val="auto"/>
            <w:u w:val="none"/>
          </w:rPr>
          <w:t>Embase</w:t>
        </w:r>
      </w:hyperlink>
      <w:r w:rsidR="631A1EA5" w:rsidRPr="008C17AC">
        <w:rPr>
          <w:rFonts w:ascii="Times New Roman" w:eastAsia="Times New Roman" w:hAnsi="Times New Roman" w:cs="Times New Roman"/>
        </w:rPr>
        <w:t xml:space="preserve">, </w:t>
      </w:r>
      <w:hyperlink r:id="rId13">
        <w:r w:rsidR="631A1EA5" w:rsidRPr="008C17AC">
          <w:rPr>
            <w:rStyle w:val="Hyperlink"/>
            <w:rFonts w:ascii="Times New Roman" w:eastAsia="Times New Roman" w:hAnsi="Times New Roman" w:cs="Times New Roman"/>
            <w:color w:val="auto"/>
            <w:u w:val="none"/>
          </w:rPr>
          <w:t>Web of Science</w:t>
        </w:r>
      </w:hyperlink>
      <w:r w:rsidR="631A1EA5" w:rsidRPr="008C17AC">
        <w:rPr>
          <w:rFonts w:ascii="Times New Roman" w:eastAsia="Times New Roman" w:hAnsi="Times New Roman" w:cs="Times New Roman"/>
        </w:rPr>
        <w:t xml:space="preserve">, </w:t>
      </w:r>
      <w:hyperlink r:id="rId14">
        <w:r w:rsidR="631A1EA5" w:rsidRPr="008C17AC">
          <w:rPr>
            <w:rStyle w:val="Hyperlink"/>
            <w:rFonts w:ascii="Times New Roman" w:eastAsia="Times New Roman" w:hAnsi="Times New Roman" w:cs="Times New Roman"/>
            <w:color w:val="auto"/>
            <w:u w:val="none"/>
          </w:rPr>
          <w:t>PsycINFO</w:t>
        </w:r>
      </w:hyperlink>
      <w:r w:rsidR="631A1EA5" w:rsidRPr="008C17AC">
        <w:rPr>
          <w:rFonts w:ascii="Times New Roman" w:eastAsia="Times New Roman" w:hAnsi="Times New Roman" w:cs="Times New Roman"/>
        </w:rPr>
        <w:t xml:space="preserve">, </w:t>
      </w:r>
      <w:hyperlink r:id="rId15">
        <w:r w:rsidR="631A1EA5" w:rsidRPr="008C17AC">
          <w:rPr>
            <w:rStyle w:val="Hyperlink"/>
            <w:rFonts w:ascii="Times New Roman" w:eastAsia="Times New Roman" w:hAnsi="Times New Roman" w:cs="Times New Roman"/>
            <w:color w:val="auto"/>
            <w:u w:val="none"/>
          </w:rPr>
          <w:t>Scopus</w:t>
        </w:r>
      </w:hyperlink>
      <w:r w:rsidR="631A1EA5" w:rsidRPr="008C17AC">
        <w:rPr>
          <w:rFonts w:ascii="Times New Roman" w:eastAsia="Times New Roman" w:hAnsi="Times New Roman" w:cs="Times New Roman"/>
        </w:rPr>
        <w:t xml:space="preserve"> and </w:t>
      </w:r>
      <w:hyperlink r:id="rId16">
        <w:r w:rsidR="631A1EA5" w:rsidRPr="008C17AC">
          <w:rPr>
            <w:rStyle w:val="Hyperlink"/>
            <w:rFonts w:ascii="Times New Roman" w:eastAsia="Times New Roman" w:hAnsi="Times New Roman" w:cs="Times New Roman"/>
            <w:color w:val="auto"/>
            <w:u w:val="none"/>
          </w:rPr>
          <w:t>Eric</w:t>
        </w:r>
      </w:hyperlink>
      <w:r w:rsidR="004012A7" w:rsidRPr="008C17AC">
        <w:rPr>
          <w:rStyle w:val="Hyperlink"/>
          <w:rFonts w:ascii="Times New Roman" w:eastAsia="Times New Roman" w:hAnsi="Times New Roman" w:cs="Times New Roman"/>
          <w:color w:val="auto"/>
          <w:u w:val="none"/>
        </w:rPr>
        <w:t>, on August 18, 2023</w:t>
      </w:r>
      <w:r w:rsidR="631A1EA5" w:rsidRPr="008C17AC">
        <w:rPr>
          <w:rFonts w:ascii="Times New Roman" w:eastAsia="Times New Roman" w:hAnsi="Times New Roman" w:cs="Times New Roman"/>
        </w:rPr>
        <w:t xml:space="preserve">. Grey literature was </w:t>
      </w:r>
      <w:r w:rsidR="0588AFCF" w:rsidRPr="008C17AC">
        <w:rPr>
          <w:rFonts w:ascii="Times New Roman" w:eastAsia="Times New Roman" w:hAnsi="Times New Roman" w:cs="Times New Roman"/>
        </w:rPr>
        <w:t>requested from</w:t>
      </w:r>
      <w:r w:rsidR="631A1EA5" w:rsidRPr="008C17AC">
        <w:rPr>
          <w:rFonts w:ascii="Times New Roman" w:eastAsia="Times New Roman" w:hAnsi="Times New Roman" w:cs="Times New Roman"/>
        </w:rPr>
        <w:t xml:space="preserve"> experts in the fields of reproducibility and open science. Any study</w:t>
      </w:r>
      <w:r w:rsidR="654122AC" w:rsidRPr="008C17AC">
        <w:rPr>
          <w:rFonts w:ascii="Times New Roman" w:eastAsia="Times New Roman" w:hAnsi="Times New Roman" w:cs="Times New Roman"/>
        </w:rPr>
        <w:t xml:space="preserve"> </w:t>
      </w:r>
      <w:r w:rsidR="631A1EA5" w:rsidRPr="008C17AC">
        <w:rPr>
          <w:rFonts w:ascii="Times New Roman" w:eastAsia="Times New Roman" w:hAnsi="Times New Roman" w:cs="Times New Roman"/>
        </w:rPr>
        <w:t xml:space="preserve">empirically </w:t>
      </w:r>
      <w:r w:rsidR="654122AC" w:rsidRPr="008C17AC">
        <w:rPr>
          <w:rFonts w:ascii="Times New Roman" w:eastAsia="Times New Roman" w:hAnsi="Times New Roman" w:cs="Times New Roman"/>
        </w:rPr>
        <w:t xml:space="preserve">evaluating the effectiveness of interventions aimed at </w:t>
      </w:r>
      <w:r w:rsidR="00197A22" w:rsidRPr="008C17AC">
        <w:rPr>
          <w:rFonts w:ascii="Times New Roman" w:eastAsia="Times New Roman" w:hAnsi="Times New Roman" w:cs="Times New Roman"/>
        </w:rPr>
        <w:t>improving</w:t>
      </w:r>
      <w:r w:rsidR="654122AC" w:rsidRPr="008C17AC">
        <w:rPr>
          <w:rFonts w:ascii="Times New Roman" w:eastAsia="Times New Roman" w:hAnsi="Times New Roman" w:cs="Times New Roman"/>
        </w:rPr>
        <w:t xml:space="preserve"> the reproducibility or replicability of scientific methods and findings</w:t>
      </w:r>
      <w:r w:rsidR="631A1EA5" w:rsidRPr="008C17AC">
        <w:rPr>
          <w:rFonts w:ascii="Times New Roman" w:eastAsia="Times New Roman" w:hAnsi="Times New Roman" w:cs="Times New Roman"/>
        </w:rPr>
        <w:t xml:space="preserve"> was included</w:t>
      </w:r>
      <w:r w:rsidR="654122AC" w:rsidRPr="008C17AC">
        <w:rPr>
          <w:rFonts w:ascii="Times New Roman" w:eastAsia="Times New Roman" w:hAnsi="Times New Roman" w:cs="Times New Roman"/>
        </w:rPr>
        <w:t>.</w:t>
      </w:r>
      <w:r w:rsidR="631A1EA5" w:rsidRPr="008C17AC">
        <w:rPr>
          <w:rFonts w:ascii="Times New Roman" w:eastAsia="Times New Roman" w:hAnsi="Times New Roman" w:cs="Times New Roman"/>
        </w:rPr>
        <w:t xml:space="preserve"> </w:t>
      </w:r>
      <w:r w:rsidR="552E127D" w:rsidRPr="008C17AC">
        <w:rPr>
          <w:rFonts w:ascii="Times New Roman" w:eastAsia="Times New Roman" w:hAnsi="Times New Roman" w:cs="Times New Roman"/>
        </w:rPr>
        <w:t xml:space="preserve">An intervention could be any action </w:t>
      </w:r>
      <w:r w:rsidR="00766002" w:rsidRPr="008C17AC">
        <w:rPr>
          <w:rFonts w:ascii="Times New Roman" w:eastAsia="Times New Roman" w:hAnsi="Times New Roman" w:cs="Times New Roman"/>
        </w:rPr>
        <w:t>taken</w:t>
      </w:r>
      <w:r w:rsidR="552E127D" w:rsidRPr="008C17AC">
        <w:rPr>
          <w:rFonts w:ascii="Times New Roman" w:eastAsia="Times New Roman" w:hAnsi="Times New Roman" w:cs="Times New Roman"/>
        </w:rPr>
        <w:t xml:space="preserve"> by either individual researchers or </w:t>
      </w:r>
      <w:r w:rsidR="0058510F" w:rsidRPr="008C17AC">
        <w:rPr>
          <w:rFonts w:ascii="Times New Roman" w:eastAsia="Times New Roman" w:hAnsi="Times New Roman" w:cs="Times New Roman"/>
        </w:rPr>
        <w:t xml:space="preserve">scientific </w:t>
      </w:r>
      <w:r w:rsidR="552E127D" w:rsidRPr="008C17AC">
        <w:rPr>
          <w:rFonts w:ascii="Times New Roman" w:eastAsia="Times New Roman" w:hAnsi="Times New Roman" w:cs="Times New Roman"/>
        </w:rPr>
        <w:t>institutions (e.g., research institutes, publishers</w:t>
      </w:r>
      <w:r w:rsidR="00197A22" w:rsidRPr="008C17AC">
        <w:rPr>
          <w:rFonts w:ascii="Times New Roman" w:eastAsia="Times New Roman" w:hAnsi="Times New Roman" w:cs="Times New Roman"/>
        </w:rPr>
        <w:t xml:space="preserve"> and</w:t>
      </w:r>
      <w:r w:rsidR="552E127D" w:rsidRPr="008C17AC">
        <w:rPr>
          <w:rFonts w:ascii="Times New Roman" w:eastAsia="Times New Roman" w:hAnsi="Times New Roman" w:cs="Times New Roman"/>
        </w:rPr>
        <w:t xml:space="preserve"> funders).</w:t>
      </w:r>
      <w:r w:rsidR="4C2B20AE" w:rsidRPr="008C17AC">
        <w:rPr>
          <w:rFonts w:ascii="Times New Roman" w:eastAsia="Times New Roman" w:hAnsi="Times New Roman" w:cs="Times New Roman"/>
        </w:rPr>
        <w:t xml:space="preserve"> We summarized the retrieved evidence narratively and in an evidence </w:t>
      </w:r>
      <w:r w:rsidR="00766002" w:rsidRPr="008C17AC">
        <w:rPr>
          <w:rFonts w:ascii="Times New Roman" w:eastAsia="Times New Roman" w:hAnsi="Times New Roman" w:cs="Times New Roman"/>
        </w:rPr>
        <w:t xml:space="preserve">gap </w:t>
      </w:r>
      <w:r w:rsidR="4C2B20AE" w:rsidRPr="008C17AC">
        <w:rPr>
          <w:rFonts w:ascii="Times New Roman" w:eastAsia="Times New Roman" w:hAnsi="Times New Roman" w:cs="Times New Roman"/>
        </w:rPr>
        <w:t>map. Of the 104 distinct studies we included, 15 directly measured the effect of an intervention on reproducibility or replicability, while the other research questions addressed a proxy outcome</w:t>
      </w:r>
      <w:r w:rsidR="54F030E7" w:rsidRPr="008C17AC">
        <w:rPr>
          <w:rFonts w:ascii="Times New Roman" w:eastAsia="Times New Roman" w:hAnsi="Times New Roman" w:cs="Times New Roman"/>
        </w:rPr>
        <w:t xml:space="preserve"> that might be expected to increase reproducibility or replicability</w:t>
      </w:r>
      <w:r w:rsidR="4C2B20AE" w:rsidRPr="008C17AC">
        <w:rPr>
          <w:rFonts w:ascii="Times New Roman" w:eastAsia="Times New Roman" w:hAnsi="Times New Roman" w:cs="Times New Roman"/>
        </w:rPr>
        <w:t>, such as data sharing, methods transparency or preregistration. Thirty research questions</w:t>
      </w:r>
      <w:r w:rsidR="632E1785" w:rsidRPr="008C17AC">
        <w:rPr>
          <w:rFonts w:ascii="Times New Roman" w:eastAsia="Times New Roman" w:hAnsi="Times New Roman" w:cs="Times New Roman"/>
        </w:rPr>
        <w:t xml:space="preserve"> within included studies</w:t>
      </w:r>
      <w:r w:rsidR="4C2B20AE" w:rsidRPr="008C17AC">
        <w:rPr>
          <w:rFonts w:ascii="Times New Roman" w:eastAsia="Times New Roman" w:hAnsi="Times New Roman" w:cs="Times New Roman"/>
        </w:rPr>
        <w:t xml:space="preserve"> were non-comparative and 27 were comparative but cross-sectional, precluding any causal inference. </w:t>
      </w:r>
      <w:r w:rsidR="002B22C5" w:rsidRPr="008C17AC">
        <w:rPr>
          <w:rFonts w:ascii="Times New Roman" w:eastAsia="Times New Roman" w:hAnsi="Times New Roman" w:cs="Times New Roman"/>
        </w:rPr>
        <w:t xml:space="preserve">Possible limitations of our review may be the </w:t>
      </w:r>
      <w:r w:rsidR="00152F15" w:rsidRPr="008C17AC">
        <w:rPr>
          <w:rFonts w:ascii="Times New Roman" w:eastAsia="Times New Roman" w:hAnsi="Times New Roman" w:cs="Times New Roman"/>
        </w:rPr>
        <w:t xml:space="preserve">search and selection strategy, which was done by a large team including researchers from different disciplines and </w:t>
      </w:r>
      <w:r w:rsidR="00895743" w:rsidRPr="008C17AC">
        <w:rPr>
          <w:rFonts w:ascii="Times New Roman" w:eastAsia="Times New Roman" w:hAnsi="Times New Roman" w:cs="Times New Roman"/>
        </w:rPr>
        <w:t>different expertise levels</w:t>
      </w:r>
      <w:r w:rsidR="00152F15" w:rsidRPr="008C17AC">
        <w:rPr>
          <w:rFonts w:ascii="Times New Roman" w:eastAsia="Times New Roman" w:hAnsi="Times New Roman" w:cs="Times New Roman"/>
        </w:rPr>
        <w:t xml:space="preserve">. </w:t>
      </w:r>
      <w:r w:rsidR="4C2B20AE" w:rsidRPr="008C17AC">
        <w:rPr>
          <w:rFonts w:ascii="Times New Roman" w:eastAsia="Times New Roman" w:hAnsi="Times New Roman" w:cs="Times New Roman"/>
        </w:rPr>
        <w:t xml:space="preserve">Despite studies investigating a range of interventions and addressing various outcomes, our findings indicate that in general the evidence-base </w:t>
      </w:r>
      <w:r w:rsidR="008052B7" w:rsidRPr="008C17AC">
        <w:rPr>
          <w:rFonts w:ascii="Times New Roman" w:eastAsia="Times New Roman" w:hAnsi="Times New Roman" w:cs="Times New Roman"/>
        </w:rPr>
        <w:t>for</w:t>
      </w:r>
      <w:r w:rsidR="4C2B20AE" w:rsidRPr="008C17AC">
        <w:rPr>
          <w:rFonts w:ascii="Times New Roman" w:eastAsia="Times New Roman" w:hAnsi="Times New Roman" w:cs="Times New Roman"/>
        </w:rPr>
        <w:t xml:space="preserve"> which</w:t>
      </w:r>
      <w:r w:rsidR="2B4BB0AF" w:rsidRPr="008C17AC">
        <w:rPr>
          <w:rFonts w:ascii="Times New Roman" w:eastAsia="Times New Roman" w:hAnsi="Times New Roman" w:cs="Times New Roman"/>
        </w:rPr>
        <w:t xml:space="preserve"> various interventions</w:t>
      </w:r>
      <w:r w:rsidR="0058510F" w:rsidRPr="008C17AC">
        <w:rPr>
          <w:rFonts w:ascii="Times New Roman" w:eastAsia="Times New Roman" w:hAnsi="Times New Roman" w:cs="Times New Roman"/>
        </w:rPr>
        <w:t xml:space="preserve"> to</w:t>
      </w:r>
      <w:r w:rsidR="4C2B20AE" w:rsidRPr="008C17AC">
        <w:rPr>
          <w:rFonts w:ascii="Times New Roman" w:eastAsia="Times New Roman" w:hAnsi="Times New Roman" w:cs="Times New Roman"/>
        </w:rPr>
        <w:t xml:space="preserve"> improve reproducibility of research remains remarkably limited in many respects.</w:t>
      </w:r>
      <w:r w:rsidR="008052B7" w:rsidRPr="008C17AC">
        <w:rPr>
          <w:rFonts w:ascii="Times New Roman" w:eastAsia="Times New Roman" w:hAnsi="Times New Roman" w:cs="Times New Roman"/>
        </w:rPr>
        <w:t xml:space="preserve"> The study protocol was pre-registered on the Open Science Framework (OSF) under (DOI 10.17605/OSF.IO/D65YS. This work was funded by the European Union’s Horizon Europe research and innovation program under grant agreements No. 101094725 (OSIRIS) and 101094817 (TIER2).</w:t>
      </w:r>
    </w:p>
    <w:p w14:paraId="515ABF84" w14:textId="4D1947EA" w:rsidR="00E1470C" w:rsidRPr="008C17AC" w:rsidRDefault="00E1470C" w:rsidP="00E1470C">
      <w:pPr>
        <w:spacing w:line="360" w:lineRule="auto"/>
        <w:ind w:left="-20" w:right="-20" w:firstLine="587"/>
        <w:rPr>
          <w:rFonts w:ascii="Times New Roman" w:eastAsia="Times New Roman" w:hAnsi="Times New Roman" w:cs="Times New Roman"/>
          <w:sz w:val="24"/>
          <w:szCs w:val="24"/>
        </w:rPr>
      </w:pPr>
    </w:p>
    <w:p w14:paraId="5DE8C0C9" w14:textId="0BE14E62" w:rsidR="00E1470C" w:rsidRPr="008C17AC" w:rsidRDefault="00E1470C" w:rsidP="00E1470C">
      <w:pPr>
        <w:spacing w:line="360" w:lineRule="auto"/>
        <w:ind w:left="-20" w:right="-20" w:firstLine="587"/>
        <w:rPr>
          <w:rFonts w:ascii="Times New Roman" w:eastAsia="Times New Roman" w:hAnsi="Times New Roman" w:cs="Times New Roman"/>
          <w:sz w:val="24"/>
          <w:szCs w:val="24"/>
        </w:rPr>
      </w:pPr>
    </w:p>
    <w:p w14:paraId="221D3CCB" w14:textId="3F9B9985" w:rsidR="00B8773F" w:rsidRPr="008C17AC" w:rsidRDefault="2AA188C6" w:rsidP="00D4411A">
      <w:pPr>
        <w:spacing w:after="0" w:line="360" w:lineRule="auto"/>
        <w:rPr>
          <w:rFonts w:ascii="Times New Roman" w:eastAsia="Times New Roman" w:hAnsi="Times New Roman" w:cs="Times New Roman"/>
          <w:b/>
          <w:bCs/>
          <w:sz w:val="24"/>
          <w:szCs w:val="24"/>
        </w:rPr>
      </w:pPr>
      <w:r w:rsidRPr="008C17AC">
        <w:rPr>
          <w:rFonts w:ascii="Times New Roman" w:eastAsia="Times New Roman" w:hAnsi="Times New Roman" w:cs="Times New Roman"/>
          <w:b/>
          <w:bCs/>
          <w:sz w:val="24"/>
          <w:szCs w:val="24"/>
        </w:rPr>
        <w:br w:type="page"/>
      </w:r>
    </w:p>
    <w:p w14:paraId="302D7AB7" w14:textId="32131BC6" w:rsidR="009D0FED" w:rsidRPr="008C17AC" w:rsidRDefault="14713B7C" w:rsidP="23EF21E2">
      <w:pPr>
        <w:spacing w:after="120" w:line="360" w:lineRule="auto"/>
        <w:ind w:right="-20" w:firstLine="567"/>
        <w:rPr>
          <w:rFonts w:ascii="Times New Roman" w:eastAsia="Times New Roman" w:hAnsi="Times New Roman" w:cs="Times New Roman"/>
          <w:b/>
          <w:bCs/>
        </w:rPr>
      </w:pPr>
      <w:r w:rsidRPr="008C17AC">
        <w:rPr>
          <w:rFonts w:ascii="Times New Roman" w:eastAsia="Times New Roman" w:hAnsi="Times New Roman" w:cs="Times New Roman"/>
          <w:b/>
          <w:bCs/>
          <w:sz w:val="24"/>
          <w:szCs w:val="24"/>
        </w:rPr>
        <w:lastRenderedPageBreak/>
        <w:t>I</w:t>
      </w:r>
      <w:r w:rsidRPr="008C17AC">
        <w:rPr>
          <w:rFonts w:ascii="Times New Roman" w:eastAsia="Times New Roman" w:hAnsi="Times New Roman" w:cs="Times New Roman"/>
          <w:b/>
          <w:bCs/>
        </w:rPr>
        <w:t>ntroduction</w:t>
      </w:r>
    </w:p>
    <w:p w14:paraId="77067640" w14:textId="4B47F064" w:rsidR="5E08DC3D" w:rsidRPr="008C17AC" w:rsidRDefault="03CB9930" w:rsidP="23EF21E2">
      <w:pPr>
        <w:spacing w:line="360" w:lineRule="auto"/>
        <w:ind w:left="-20" w:right="-20" w:firstLine="587"/>
        <w:rPr>
          <w:rFonts w:ascii="Times New Roman" w:eastAsia="Times New Roman" w:hAnsi="Times New Roman" w:cs="Times New Roman"/>
        </w:rPr>
      </w:pPr>
      <w:r w:rsidRPr="008C17AC">
        <w:rPr>
          <w:rFonts w:ascii="Times New Roman" w:eastAsia="Times New Roman" w:hAnsi="Times New Roman" w:cs="Times New Roman"/>
        </w:rPr>
        <w:t>The robustness and trust</w:t>
      </w:r>
      <w:r w:rsidR="72B35D32" w:rsidRPr="008C17AC">
        <w:rPr>
          <w:rFonts w:ascii="Times New Roman" w:eastAsia="Times New Roman" w:hAnsi="Times New Roman" w:cs="Times New Roman"/>
        </w:rPr>
        <w:t>worthiness</w:t>
      </w:r>
      <w:r w:rsidRPr="008C17AC">
        <w:rPr>
          <w:rFonts w:ascii="Times New Roman" w:eastAsia="Times New Roman" w:hAnsi="Times New Roman" w:cs="Times New Roman"/>
        </w:rPr>
        <w:t xml:space="preserve"> of research results </w:t>
      </w:r>
      <w:r w:rsidR="70437483" w:rsidRPr="008C17AC">
        <w:rPr>
          <w:rFonts w:ascii="Times New Roman" w:eastAsia="Times New Roman" w:hAnsi="Times New Roman" w:cs="Times New Roman"/>
        </w:rPr>
        <w:t xml:space="preserve">are </w:t>
      </w:r>
      <w:r w:rsidRPr="008C17AC">
        <w:rPr>
          <w:rFonts w:ascii="Times New Roman" w:eastAsia="Times New Roman" w:hAnsi="Times New Roman" w:cs="Times New Roman"/>
        </w:rPr>
        <w:t>in question</w:t>
      </w:r>
      <w:r w:rsidR="787B25D7" w:rsidRPr="008C17AC">
        <w:rPr>
          <w:rFonts w:ascii="Times New Roman" w:eastAsia="Times New Roman" w:hAnsi="Times New Roman" w:cs="Times New Roman"/>
        </w:rPr>
        <w:t xml:space="preserve"> </w:t>
      </w:r>
      <w:r w:rsidR="4BB5E44B" w:rsidRPr="008C17AC">
        <w:rPr>
          <w:rFonts w:ascii="Times New Roman" w:eastAsia="Times New Roman" w:hAnsi="Times New Roman" w:cs="Times New Roman"/>
          <w:sz w:val="24"/>
          <w:szCs w:val="24"/>
        </w:rPr>
        <w:fldChar w:fldCharType="begin"/>
      </w:r>
      <w:r w:rsidR="4BB5E44B" w:rsidRPr="008C17AC">
        <w:rPr>
          <w:rFonts w:ascii="Times New Roman" w:eastAsia="Times New Roman" w:hAnsi="Times New Roman" w:cs="Times New Roman"/>
          <w:sz w:val="24"/>
          <w:szCs w:val="24"/>
        </w:rPr>
        <w:instrText xml:space="preserve"> ADDIN ZOTERO_ITEM CSL_CITATION {"citationID":"7iIo3w6Y","properties":{"formattedCitation":"[1\\uc0\\u8211{}3]","plainCitation":"[1–3]","noteIndex":0},"citationItems":[{"id":3505,"uris":["http://zotero.org/users/11060092/items/TSWD7X7W"],"itemData":{"id":3505,"type":"article-journal","abstract":"Survey sheds light on the ‘crisis’ rocking research.","container-title":"Nature","DOI":"10.1038/533452a","ISSN":"1476-4687","issue":"7604","language":"en","license":"2016 Nature Publishing Group","note":"number: 7604\npublisher: Nature Publishing Group","page":"452-454","source":"www.nature.com","title":"1,500 scientists lift the lid on reproducibility","volume":"533","author":[{"family":"Baker","given":"Monya"}],"issued":{"date-parts":[["2016",5,1]]}}},{"id":31203,"uris":["http://zotero.org/groups/4983756/items/WWWKGEZS"],"itemData":{"id":31203,"type":"article-journal","abstract":"The credibility revolution (sometimes referred to as the “replicability crisis”) in psychology has brought about many changes in the standards by which psychological science is evaluated. These changes include (a) greater emphasis on transparency and openness, (b) a move toward preregistration of research, (c) more direct-replication studies, and (d) higher standards for the quality and quantity of evidence needed to make strong scientific claims. What are the implications of these changes for productivity, creativity, and progress in psychological science? These questions can and should be studied empirically, and I present my predictions here. The productivity of individual researchers is likely to decline, although some changes (e.g., greater collaboration, data sharing) may mitigate this effect. The effects of these changes on creativity are likely to be mixed: Researchers will be less likely to pursue risky questions; more likely to use a broad range of methods, designs, and populations; and less free to define their own best practices and standards of evidence. Finally, the rate of scientific progress—the most important shared goal of scientists—is likely to increase as a result of these changes, although one’s subjective experience of making progress will likely become rarer.","container-title":"Perspectives on Psychological Science","DOI":"10.1177/1745691617751884","ISSN":"1745-6916","issue":"4","journalAbbreviation":"Perspect Psychol Sci","language":"en","note":"publisher: SAGE Publications Inc","page":"411-417","source":"SAGE Journals","title":"Implications of the Credibility Revolution for Productivity, Creativity, and Progress","volume":"13","author":[{"family":"Vazire","given":"Simine"}],"issued":{"date-parts":[["2018",7,1]]}}},{"id":31204,"uris":["http://zotero.org/groups/4983756/items/VPPCM694"],"itemData":{"id":31204,"type":"article-journal","abstract":"Summary There is increasing concern that most current published research findings are false. The probability that a research claim is true may depend on study power and bias, the number of other studies on the same question, and, importantly, the ratio of true to no relationships among the relationships probed in each scientific field. In this framework, a research finding is less likely to be true when the studies conducted in a field are smaller; when effect sizes are smaller; when there is a greater number and lesser preselection of tested relationships; where there is greater flexibility in designs, definitions, outcomes, and analytical modes; when there is greater financial and other interest and prejudice; and when more teams are involved in a scientific field in chase of statistical significance. Simulations show that for most study designs and settings, it is more likely for a research claim to be false than true. Moreover, for many current scientific fields, claimed research findings may often be simply accurate measures of the prevailing bias. In this essay, I discuss the implications of these problems for the conduct and interpretation of research.","container-title":"PLOS Medicine","DOI":"10.1371/journal.pmed.0020124","ISSN":"1549-1676","issue":"8","journalAbbreviation":"PLOS Medicine","language":"en","note":"publisher: Public Library of Science","page":"e124","source":"PLoS Journals","title":"Why Most Published Research Findings Are False","volume":"2","author":[{"family":"Ioannidis","given":"John P. A."}],"issued":{"date-parts":[["2005",8,30]]}}}],"schema":"https://github.com/citation-style-language/schema/raw/master/csl-citation.json"} </w:instrText>
      </w:r>
      <w:r w:rsidR="4BB5E44B" w:rsidRPr="008C17AC">
        <w:rPr>
          <w:rFonts w:ascii="Times New Roman" w:eastAsia="Times New Roman" w:hAnsi="Times New Roman" w:cs="Times New Roman"/>
          <w:sz w:val="24"/>
          <w:szCs w:val="24"/>
        </w:rPr>
        <w:fldChar w:fldCharType="separate"/>
      </w:r>
      <w:r w:rsidR="04AED367" w:rsidRPr="008C17AC">
        <w:rPr>
          <w:rFonts w:ascii="Times New Roman" w:eastAsia="Times New Roman" w:hAnsi="Times New Roman" w:cs="Times New Roman"/>
        </w:rPr>
        <w:t>[1–3]</w:t>
      </w:r>
      <w:r w:rsidR="4BB5E44B" w:rsidRPr="008C17AC">
        <w:rPr>
          <w:rFonts w:ascii="Times New Roman" w:eastAsia="Times New Roman" w:hAnsi="Times New Roman" w:cs="Times New Roman"/>
          <w:sz w:val="24"/>
          <w:szCs w:val="24"/>
        </w:rPr>
        <w:fldChar w:fldCharType="end"/>
      </w:r>
      <w:r w:rsidRPr="008C17AC">
        <w:rPr>
          <w:rFonts w:ascii="Times New Roman" w:eastAsia="Times New Roman" w:hAnsi="Times New Roman" w:cs="Times New Roman"/>
        </w:rPr>
        <w:t xml:space="preserve">. This is true especially </w:t>
      </w:r>
      <w:r w:rsidR="00BA2C5E" w:rsidRPr="008C17AC">
        <w:rPr>
          <w:rFonts w:ascii="Times New Roman" w:eastAsia="Times New Roman" w:hAnsi="Times New Roman" w:cs="Times New Roman"/>
        </w:rPr>
        <w:t>with respect</w:t>
      </w:r>
      <w:r w:rsidRPr="008C17AC">
        <w:rPr>
          <w:rFonts w:ascii="Times New Roman" w:eastAsia="Times New Roman" w:hAnsi="Times New Roman" w:cs="Times New Roman"/>
        </w:rPr>
        <w:t xml:space="preserve"> </w:t>
      </w:r>
      <w:r w:rsidR="7D638EA8" w:rsidRPr="008C17AC">
        <w:rPr>
          <w:rFonts w:ascii="Times New Roman" w:eastAsia="Times New Roman" w:hAnsi="Times New Roman" w:cs="Times New Roman"/>
        </w:rPr>
        <w:t xml:space="preserve">to </w:t>
      </w:r>
      <w:r w:rsidRPr="008C17AC">
        <w:rPr>
          <w:rFonts w:ascii="Times New Roman" w:eastAsia="Times New Roman" w:hAnsi="Times New Roman" w:cs="Times New Roman"/>
        </w:rPr>
        <w:t>their</w:t>
      </w:r>
      <w:r w:rsidR="0AE089FC" w:rsidRPr="008C17AC">
        <w:rPr>
          <w:rFonts w:ascii="Times New Roman" w:eastAsia="Times New Roman" w:hAnsi="Times New Roman" w:cs="Times New Roman"/>
        </w:rPr>
        <w:t xml:space="preserve"> </w:t>
      </w:r>
      <w:r w:rsidR="0AE089FC" w:rsidRPr="008C17AC">
        <w:rPr>
          <w:rFonts w:ascii="Times New Roman" w:eastAsia="Times New Roman" w:hAnsi="Times New Roman" w:cs="Times New Roman"/>
          <w:i/>
          <w:iCs/>
        </w:rPr>
        <w:t xml:space="preserve">reproducibility </w:t>
      </w:r>
      <w:r w:rsidR="0AE089FC" w:rsidRPr="008C17AC">
        <w:rPr>
          <w:rFonts w:ascii="Times New Roman" w:eastAsia="Times New Roman" w:hAnsi="Times New Roman" w:cs="Times New Roman"/>
        </w:rPr>
        <w:t xml:space="preserve">(defined in this paper as obtaining the same or similar results when rerunning </w:t>
      </w:r>
      <w:r w:rsidR="0B750939" w:rsidRPr="008C17AC">
        <w:rPr>
          <w:rFonts w:ascii="Times New Roman" w:eastAsia="Times New Roman" w:hAnsi="Times New Roman" w:cs="Times New Roman"/>
        </w:rPr>
        <w:t>analyses</w:t>
      </w:r>
      <w:r w:rsidR="0AE089FC" w:rsidRPr="008C17AC">
        <w:rPr>
          <w:rFonts w:ascii="Times New Roman" w:eastAsia="Times New Roman" w:hAnsi="Times New Roman" w:cs="Times New Roman"/>
        </w:rPr>
        <w:t xml:space="preserve"> </w:t>
      </w:r>
      <w:r w:rsidR="2AEB77DF" w:rsidRPr="008C17AC">
        <w:rPr>
          <w:rFonts w:ascii="Times New Roman" w:eastAsia="Times New Roman" w:hAnsi="Times New Roman" w:cs="Times New Roman"/>
        </w:rPr>
        <w:t xml:space="preserve">from </w:t>
      </w:r>
      <w:r w:rsidR="00403679" w:rsidRPr="008C17AC">
        <w:rPr>
          <w:rFonts w:ascii="Times New Roman" w:eastAsia="Times New Roman" w:hAnsi="Times New Roman" w:cs="Times New Roman"/>
        </w:rPr>
        <w:t>previous</w:t>
      </w:r>
      <w:r w:rsidR="2AEB77DF" w:rsidRPr="008C17AC">
        <w:rPr>
          <w:rFonts w:ascii="Times New Roman" w:eastAsia="Times New Roman" w:hAnsi="Times New Roman" w:cs="Times New Roman"/>
        </w:rPr>
        <w:t xml:space="preserve"> studies </w:t>
      </w:r>
      <w:r w:rsidR="0AE089FC" w:rsidRPr="008C17AC">
        <w:rPr>
          <w:rFonts w:ascii="Times New Roman" w:eastAsia="Times New Roman" w:hAnsi="Times New Roman" w:cs="Times New Roman"/>
        </w:rPr>
        <w:t xml:space="preserve">using the </w:t>
      </w:r>
      <w:r w:rsidR="66723A6F" w:rsidRPr="008C17AC">
        <w:rPr>
          <w:rFonts w:ascii="Times New Roman" w:eastAsia="Times New Roman" w:hAnsi="Times New Roman" w:cs="Times New Roman"/>
        </w:rPr>
        <w:t xml:space="preserve">original </w:t>
      </w:r>
      <w:r w:rsidR="0AE089FC" w:rsidRPr="008C17AC">
        <w:rPr>
          <w:rFonts w:ascii="Times New Roman" w:eastAsia="Times New Roman" w:hAnsi="Times New Roman" w:cs="Times New Roman"/>
        </w:rPr>
        <w:t>design and data</w:t>
      </w:r>
      <w:r w:rsidR="5B31AA92" w:rsidRPr="008C17AC">
        <w:rPr>
          <w:rFonts w:ascii="Times New Roman" w:eastAsia="Times New Roman" w:hAnsi="Times New Roman" w:cs="Times New Roman"/>
        </w:rPr>
        <w:t xml:space="preserve"> and code</w:t>
      </w:r>
      <w:r w:rsidR="4513868C" w:rsidRPr="008C17AC">
        <w:rPr>
          <w:rFonts w:ascii="Times New Roman" w:eastAsia="Times New Roman" w:hAnsi="Times New Roman" w:cs="Times New Roman"/>
        </w:rPr>
        <w:t xml:space="preserve"> </w:t>
      </w:r>
      <w:r w:rsidR="4BB5E44B" w:rsidRPr="008C17AC">
        <w:rPr>
          <w:rFonts w:ascii="Times New Roman" w:eastAsia="Times New Roman" w:hAnsi="Times New Roman" w:cs="Times New Roman"/>
          <w:sz w:val="24"/>
          <w:szCs w:val="24"/>
        </w:rPr>
        <w:fldChar w:fldCharType="begin"/>
      </w:r>
      <w:r w:rsidR="4BB5E44B" w:rsidRPr="008C17AC">
        <w:rPr>
          <w:rFonts w:ascii="Times New Roman" w:eastAsia="Times New Roman" w:hAnsi="Times New Roman" w:cs="Times New Roman"/>
          <w:sz w:val="24"/>
          <w:szCs w:val="24"/>
        </w:rPr>
        <w:instrText xml:space="preserve"> ADDIN ZOTERO_ITEM CSL_CITATION {"citationID":"xX7Gs5lm","properties":{"formattedCitation":"[cf., 4]","plainCitation":"[cf., 4]","noteIndex":0},"citationItems":[{"id":28425,"uris":["http://zotero.org/groups/4983756/items/8YHMV7U5"],"itemData":{"id":28425,"type":"article-journal","abstract":"Replication—an important, uncommon, and misunderstood practice—is gaining appreciation in psychology. Achieving replicability is important for making research progress. If findings are not replicable, then prediction and theory development are stifled. If findings are replicable, then interrogation of their meaning and validity can advance knowledge. Assessing replicability can be productive for generating and testing hypotheses by actively confronting current understandings to identify weaknesses and spur innovation. For psychology, the 2010s might be characterized as a decade of active confrontation. Systematic and multi-site replication projects assessed current understandings and observed surprising failures to replicate many published findings. Replication efforts highlighted sociocultural challenges such as disincentives to conduct replications and a tendency to frame replication as a personal attack rather than a healthy scientific practice, and they raised awareness that replication contributes to self-correction. Nevertheless, innovation in doing and understanding replication and its cousins, reproducibility and robustness, has positioned psychology to improve research practices and accelerate progress.","container-title":"Annual Review of Psychology","DOI":"10.1146/annurev-psych-020821-114157","ISSN":"0066-4308, 1545-2085","issue":"1","journalAbbreviation":"Annu. Rev. Psychol.","language":"en","page":"719-748","source":"DOI.org (Crossref)","title":"Replicability, Robustness, and Reproducibility in Psychological Science","volume":"73","author":[{"family":"Nosek","given":"Brian A."},{"family":"Hardwicke","given":"Tom E."},{"family":"Moshontz","given":"Hannah"},{"family":"Allard","given":"Aurélien"},{"family":"Corker","given":"Katherine S."},{"family":"Dreber","given":"Anna"},{"family":"Fidler","given":"Fiona"},{"family":"Hilgard","given":"Joe"},{"family":"Kline Struhl","given":"Melissa"},{"family":"Nuijten","given":"Michèle B."},{"family":"Rohrer","given":"Julia M."},{"family":"Romero","given":"Felipe"},{"family":"Scheel","given":"Anne M."},{"family":"Scherer","given":"Laura D."},{"family":"Schönbrodt","given":"Felix D."},{"family":"Vazire","given":"Simine"}],"issued":{"date-parts":[["2022",1,4]]}},"label":"page","prefix":"cf., "}],"schema":"https://github.com/citation-style-language/schema/raw/master/csl-citation.json"} </w:instrText>
      </w:r>
      <w:r w:rsidR="4BB5E44B" w:rsidRPr="008C17AC">
        <w:rPr>
          <w:rFonts w:ascii="Times New Roman" w:eastAsia="Times New Roman" w:hAnsi="Times New Roman" w:cs="Times New Roman"/>
          <w:sz w:val="24"/>
          <w:szCs w:val="24"/>
        </w:rPr>
        <w:fldChar w:fldCharType="separate"/>
      </w:r>
      <w:r w:rsidR="1089C9D7" w:rsidRPr="008C17AC">
        <w:rPr>
          <w:rFonts w:ascii="Times New Roman" w:eastAsia="Times New Roman" w:hAnsi="Times New Roman" w:cs="Times New Roman"/>
        </w:rPr>
        <w:t>[cf., 4]</w:t>
      </w:r>
      <w:r w:rsidR="4BB5E44B" w:rsidRPr="008C17AC">
        <w:rPr>
          <w:rFonts w:ascii="Times New Roman" w:eastAsia="Times New Roman" w:hAnsi="Times New Roman" w:cs="Times New Roman"/>
          <w:sz w:val="24"/>
          <w:szCs w:val="24"/>
        </w:rPr>
        <w:fldChar w:fldCharType="end"/>
      </w:r>
      <w:r w:rsidR="0AE089FC" w:rsidRPr="008C17AC">
        <w:rPr>
          <w:rFonts w:ascii="Times New Roman" w:eastAsia="Times New Roman" w:hAnsi="Times New Roman" w:cs="Times New Roman"/>
        </w:rPr>
        <w:t>)</w:t>
      </w:r>
      <w:r w:rsidR="50BCEAAB" w:rsidRPr="008C17AC">
        <w:rPr>
          <w:rFonts w:ascii="Times New Roman" w:eastAsia="Times New Roman" w:hAnsi="Times New Roman" w:cs="Times New Roman"/>
        </w:rPr>
        <w:t xml:space="preserve"> and </w:t>
      </w:r>
      <w:r w:rsidR="50BCEAAB" w:rsidRPr="008C17AC">
        <w:rPr>
          <w:rFonts w:ascii="Times New Roman" w:eastAsia="Times New Roman" w:hAnsi="Times New Roman" w:cs="Times New Roman"/>
          <w:i/>
          <w:iCs/>
        </w:rPr>
        <w:t xml:space="preserve">replicability </w:t>
      </w:r>
      <w:r w:rsidR="50BCEAAB" w:rsidRPr="008C17AC">
        <w:rPr>
          <w:rFonts w:ascii="Times New Roman" w:eastAsia="Times New Roman" w:hAnsi="Times New Roman" w:cs="Times New Roman"/>
        </w:rPr>
        <w:t>(defined here as obtaining the same or similar results when repeating</w:t>
      </w:r>
      <w:r w:rsidR="38393820" w:rsidRPr="008C17AC">
        <w:rPr>
          <w:rFonts w:ascii="Times New Roman" w:eastAsia="Times New Roman" w:hAnsi="Times New Roman" w:cs="Times New Roman"/>
        </w:rPr>
        <w:t>,</w:t>
      </w:r>
      <w:r w:rsidR="2DE43796" w:rsidRPr="008C17AC">
        <w:rPr>
          <w:rFonts w:ascii="Times New Roman" w:eastAsia="Times New Roman" w:hAnsi="Times New Roman" w:cs="Times New Roman"/>
        </w:rPr>
        <w:t xml:space="preserve"> </w:t>
      </w:r>
      <w:r w:rsidR="700E4810" w:rsidRPr="008C17AC">
        <w:rPr>
          <w:rFonts w:ascii="Times New Roman" w:eastAsia="Times New Roman" w:hAnsi="Times New Roman" w:cs="Times New Roman"/>
        </w:rPr>
        <w:t>in whole or part</w:t>
      </w:r>
      <w:r w:rsidR="06E4A07B" w:rsidRPr="008C17AC">
        <w:rPr>
          <w:rFonts w:ascii="Times New Roman" w:eastAsia="Times New Roman" w:hAnsi="Times New Roman" w:cs="Times New Roman"/>
        </w:rPr>
        <w:t>,</w:t>
      </w:r>
      <w:r w:rsidR="50BCEAAB" w:rsidRPr="008C17AC">
        <w:rPr>
          <w:rFonts w:ascii="Times New Roman" w:eastAsia="Times New Roman" w:hAnsi="Times New Roman" w:cs="Times New Roman"/>
        </w:rPr>
        <w:t xml:space="preserve"> a</w:t>
      </w:r>
      <w:r w:rsidR="0E7BCD55" w:rsidRPr="008C17AC">
        <w:rPr>
          <w:rFonts w:ascii="Times New Roman" w:eastAsia="Times New Roman" w:hAnsi="Times New Roman" w:cs="Times New Roman"/>
        </w:rPr>
        <w:t xml:space="preserve"> prior</w:t>
      </w:r>
      <w:r w:rsidR="50BCEAAB" w:rsidRPr="008C17AC">
        <w:rPr>
          <w:rFonts w:ascii="Times New Roman" w:eastAsia="Times New Roman" w:hAnsi="Times New Roman" w:cs="Times New Roman"/>
        </w:rPr>
        <w:t xml:space="preserve"> study</w:t>
      </w:r>
      <w:r w:rsidR="59105086" w:rsidRPr="008C17AC">
        <w:rPr>
          <w:rFonts w:ascii="Times New Roman" w:eastAsia="Times New Roman" w:hAnsi="Times New Roman" w:cs="Times New Roman"/>
        </w:rPr>
        <w:t xml:space="preserve"> </w:t>
      </w:r>
      <w:r w:rsidR="4BB5E44B" w:rsidRPr="008C17AC">
        <w:rPr>
          <w:rFonts w:ascii="Times New Roman" w:eastAsia="Times New Roman" w:hAnsi="Times New Roman" w:cs="Times New Roman"/>
          <w:sz w:val="24"/>
          <w:szCs w:val="24"/>
        </w:rPr>
        <w:fldChar w:fldCharType="begin"/>
      </w:r>
      <w:r w:rsidR="4BB5E44B" w:rsidRPr="008C17AC">
        <w:rPr>
          <w:rFonts w:ascii="Times New Roman" w:eastAsia="Times New Roman" w:hAnsi="Times New Roman" w:cs="Times New Roman"/>
          <w:sz w:val="24"/>
          <w:szCs w:val="24"/>
        </w:rPr>
        <w:instrText xml:space="preserve"> ADDIN ZOTERO_ITEM CSL_CITATION {"citationID":"mmMwcrMz","properties":{"formattedCitation":"[cf., 4]","plainCitation":"[cf., 4]","noteIndex":0},"citationItems":[{"id":28425,"uris":["http://zotero.org/groups/4983756/items/8YHMV7U5"],"itemData":{"id":28425,"type":"article-journal","abstract":"Replication—an important, uncommon, and misunderstood practice—is gaining appreciation in psychology. Achieving replicability is important for making research progress. If findings are not replicable, then prediction and theory development are stifled. If findings are replicable, then interrogation of their meaning and validity can advance knowledge. Assessing replicability can be productive for generating and testing hypotheses by actively confronting current understandings to identify weaknesses and spur innovation. For psychology, the 2010s might be characterized as a decade of active confrontation. Systematic and multi-site replication projects assessed current understandings and observed surprising failures to replicate many published findings. Replication efforts highlighted sociocultural challenges such as disincentives to conduct replications and a tendency to frame replication as a personal attack rather than a healthy scientific practice, and they raised awareness that replication contributes to self-correction. Nevertheless, innovation in doing and understanding replication and its cousins, reproducibility and robustness, has positioned psychology to improve research practices and accelerate progress.","container-title":"Annual Review of Psychology","DOI":"10.1146/annurev-psych-020821-114157","ISSN":"0066-4308, 1545-2085","issue":"1","journalAbbreviation":"Annu. Rev. Psychol.","language":"en","page":"719-748","source":"DOI.org (Crossref)","title":"Replicability, Robustness, and Reproducibility in Psychological Science","volume":"73","author":[{"family":"Nosek","given":"Brian A."},{"family":"Hardwicke","given":"Tom E."},{"family":"Moshontz","given":"Hannah"},{"family":"Allard","given":"Aurélien"},{"family":"Corker","given":"Katherine S."},{"family":"Dreber","given":"Anna"},{"family":"Fidler","given":"Fiona"},{"family":"Hilgard","given":"Joe"},{"family":"Kline Struhl","given":"Melissa"},{"family":"Nuijten","given":"Michèle B."},{"family":"Rohrer","given":"Julia M."},{"family":"Romero","given":"Felipe"},{"family":"Scheel","given":"Anne M."},{"family":"Scherer","given":"Laura D."},{"family":"Schönbrodt","given":"Felix D."},{"family":"Vazire","given":"Simine"}],"issued":{"date-parts":[["2022",1,4]]}},"label":"page","prefix":"cf., "}],"schema":"https://github.com/citation-style-language/schema/raw/master/csl-citation.json"} </w:instrText>
      </w:r>
      <w:r w:rsidR="4BB5E44B" w:rsidRPr="008C17AC">
        <w:rPr>
          <w:rFonts w:ascii="Times New Roman" w:eastAsia="Times New Roman" w:hAnsi="Times New Roman" w:cs="Times New Roman"/>
          <w:sz w:val="24"/>
          <w:szCs w:val="24"/>
        </w:rPr>
        <w:fldChar w:fldCharType="separate"/>
      </w:r>
      <w:r w:rsidR="1089C9D7" w:rsidRPr="008C17AC">
        <w:rPr>
          <w:rFonts w:ascii="Times New Roman" w:eastAsia="Times New Roman" w:hAnsi="Times New Roman" w:cs="Times New Roman"/>
        </w:rPr>
        <w:t>[cf., 4]</w:t>
      </w:r>
      <w:r w:rsidR="4BB5E44B" w:rsidRPr="008C17AC">
        <w:rPr>
          <w:rFonts w:ascii="Times New Roman" w:eastAsia="Times New Roman" w:hAnsi="Times New Roman" w:cs="Times New Roman"/>
          <w:sz w:val="24"/>
          <w:szCs w:val="24"/>
        </w:rPr>
        <w:fldChar w:fldCharType="end"/>
      </w:r>
      <w:r w:rsidR="031DD5C6" w:rsidRPr="008C17AC">
        <w:rPr>
          <w:rFonts w:ascii="Times New Roman" w:eastAsia="Times New Roman" w:hAnsi="Times New Roman" w:cs="Times New Roman"/>
        </w:rPr>
        <w:t>)</w:t>
      </w:r>
      <w:r w:rsidR="08D951D1" w:rsidRPr="008C17AC">
        <w:rPr>
          <w:rFonts w:ascii="Times New Roman" w:eastAsia="Times New Roman" w:hAnsi="Times New Roman" w:cs="Times New Roman"/>
        </w:rPr>
        <w:t>.</w:t>
      </w:r>
      <w:r w:rsidR="48FF83D3" w:rsidRPr="008C17AC">
        <w:rPr>
          <w:rFonts w:ascii="Times New Roman" w:eastAsia="Times New Roman" w:hAnsi="Times New Roman" w:cs="Times New Roman"/>
        </w:rPr>
        <w:t xml:space="preserve"> </w:t>
      </w:r>
      <w:r w:rsidR="1F2213C2" w:rsidRPr="008C17AC">
        <w:rPr>
          <w:rFonts w:ascii="Times New Roman" w:eastAsia="Times New Roman" w:hAnsi="Times New Roman" w:cs="Times New Roman"/>
        </w:rPr>
        <w:t xml:space="preserve">Ensuring that the results of studies are robust and can be independently confirmed, is expected to reduce waste </w:t>
      </w:r>
      <w:r w:rsidR="4BB5E44B" w:rsidRPr="008C17AC">
        <w:rPr>
          <w:rFonts w:ascii="Times New Roman" w:eastAsia="Times New Roman" w:hAnsi="Times New Roman" w:cs="Times New Roman"/>
          <w:sz w:val="24"/>
          <w:szCs w:val="24"/>
        </w:rPr>
        <w:fldChar w:fldCharType="begin"/>
      </w:r>
      <w:r w:rsidR="4BB5E44B" w:rsidRPr="008C17AC">
        <w:rPr>
          <w:rFonts w:ascii="Times New Roman" w:eastAsia="Times New Roman" w:hAnsi="Times New Roman" w:cs="Times New Roman"/>
          <w:sz w:val="24"/>
          <w:szCs w:val="24"/>
        </w:rPr>
        <w:instrText xml:space="preserve"> ADDIN ZOTERO_ITEM CSL_CITATION {"citationID":"7Uzi6osN","properties":{"formattedCitation":"[2,5]","plainCitation":"[2,5]","noteIndex":0},"citationItems":[{"id":31203,"uris":["http://zotero.org/groups/4983756/items/WWWKGEZS"],"itemData":{"id":31203,"type":"article-journal","abstract":"The credibility revolution (sometimes referred to as the “replicability crisis”) in psychology has brought about many changes in the standards by which psychological science is evaluated. These changes include (a) greater emphasis on transparency and openness, (b) a move toward preregistration of research, (c) more direct-replication studies, and (d) higher standards for the quality and quantity of evidence needed to make strong scientific claims. What are the implications of these changes for productivity, creativity, and progress in psychological science? These questions can and should be studied empirically, and I present my predictions here. The productivity of individual researchers is likely to decline, although some changes (e.g., greater collaboration, data sharing) may mitigate this effect. The effects of these changes on creativity are likely to be mixed: Researchers will be less likely to pursue risky questions; more likely to use a broad range of methods, designs, and populations; and less free to define their own best practices and standards of evidence. Finally, the rate of scientific progress—the most important shared goal of scientists—is likely to increase as a result of these changes, although one’s subjective experience of making progress will likely become rarer.","container-title":"Perspectives on Psychological Science","DOI":"10.1177/1745691617751884","ISSN":"1745-6916","issue":"4","journalAbbreviation":"Perspect Psychol Sci","language":"en","note":"publisher: SAGE Publications Inc","page":"411-417","source":"SAGE Journals","title":"Implications of the Credibility Revolution for Productivity, Creativity, and Progress","volume":"13","author":[{"family":"Vazire","given":"Simine"}],"issued":{"date-parts":[["2018",7,1]]}}},{"id":31205,"uris":["http://zotero.org/groups/4983756/items/GDKSHFCX"],"itemData":{"id":31205,"type":"article-journal","abstract":"Dorothy Bishop describes how threats to reproducibility, recognized but unaddressed for decades, might finally be brought under control.","container-title":"Nature","DOI":"10.1038/d41586-019-01307-2","issue":"7753","language":"en","license":"2021 Nature","note":"Bandiera_abtest: a\nCg_type: World View\npublisher: Nature Publishing Group\nSubject_term: Research management, Publishing","page":"435-435","source":"www.nature.com","title":"Rein in the four horsemen of irreproducibility","volume":"568","author":[{"family":"Bishop","given":"Dorothy"}],"issued":{"date-parts":[["2019",4,24]]}}}],"schema":"https://github.com/citation-style-language/schema/raw/master/csl-citation.json"} </w:instrText>
      </w:r>
      <w:r w:rsidR="4BB5E44B" w:rsidRPr="008C17AC">
        <w:rPr>
          <w:rFonts w:ascii="Times New Roman" w:eastAsia="Times New Roman" w:hAnsi="Times New Roman" w:cs="Times New Roman"/>
          <w:sz w:val="24"/>
          <w:szCs w:val="24"/>
        </w:rPr>
        <w:fldChar w:fldCharType="separate"/>
      </w:r>
      <w:r w:rsidR="1F2213C2" w:rsidRPr="008C17AC">
        <w:rPr>
          <w:rFonts w:ascii="Times New Roman" w:eastAsia="Times New Roman" w:hAnsi="Times New Roman" w:cs="Times New Roman"/>
        </w:rPr>
        <w:t>[2,5]</w:t>
      </w:r>
      <w:r w:rsidR="4BB5E44B" w:rsidRPr="008C17AC">
        <w:rPr>
          <w:rFonts w:ascii="Times New Roman" w:eastAsia="Times New Roman" w:hAnsi="Times New Roman" w:cs="Times New Roman"/>
          <w:sz w:val="24"/>
          <w:szCs w:val="24"/>
        </w:rPr>
        <w:fldChar w:fldCharType="end"/>
      </w:r>
      <w:r w:rsidR="005E34DF" w:rsidRPr="008C17AC">
        <w:rPr>
          <w:rFonts w:ascii="Times New Roman" w:eastAsia="Times New Roman" w:hAnsi="Times New Roman" w:cs="Times New Roman"/>
          <w:sz w:val="24"/>
          <w:szCs w:val="24"/>
        </w:rPr>
        <w:t xml:space="preserve"> and</w:t>
      </w:r>
      <w:r w:rsidR="1F2213C2" w:rsidRPr="008C17AC">
        <w:rPr>
          <w:rFonts w:ascii="Times New Roman" w:eastAsia="Times New Roman" w:hAnsi="Times New Roman" w:cs="Times New Roman"/>
        </w:rPr>
        <w:t xml:space="preserve"> lead to more reliable outcomes that better inform evidence-based decisions </w:t>
      </w:r>
      <w:r w:rsidR="4BB5E44B" w:rsidRPr="008C17AC">
        <w:rPr>
          <w:rFonts w:ascii="Times New Roman" w:eastAsia="Times New Roman" w:hAnsi="Times New Roman" w:cs="Times New Roman"/>
          <w:sz w:val="24"/>
          <w:szCs w:val="24"/>
        </w:rPr>
        <w:fldChar w:fldCharType="begin"/>
      </w:r>
      <w:r w:rsidR="4BB5E44B" w:rsidRPr="008C17AC">
        <w:rPr>
          <w:rFonts w:ascii="Times New Roman" w:eastAsia="Times New Roman" w:hAnsi="Times New Roman" w:cs="Times New Roman"/>
          <w:sz w:val="24"/>
          <w:szCs w:val="24"/>
        </w:rPr>
        <w:instrText xml:space="preserve"> ADDIN ZOTERO_ITEM CSL_CITATION {"citationID":"a6WoO7IY","properties":{"formattedCitation":"[6,7]","plainCitation":"[6,7]","noteIndex":0},"citationItems":[{"id":31208,"uris":["http://zotero.org/groups/4983756/items/RGXCHWKC"],"itemData":{"id":31208,"type":"article-journal","abstract":"In the era of evidence-based policy, framing and assessing the core evidence is fundamental to our ability to use research in support of public policy. In a world of almost exponentially expanding scholarly publication, it is becoming harder to define what is known. This article reviews the basic theories of knowledge, the context for sorting through and summarizing that knowledge and a number of options available, and used, to assemble the knowledge base for research and policy work. The authors undertook a summative process in the domain of biotechnology, agriculture and development and offer insights into the comparative methods and their impacts on the outcome. A population sample of 421 articles was gathered. Four methods—expert Delphi, citation analysis, social network analysis and peer evaluation—were used to select the 51 pieces for inclusion and analysis in the core literature. That analysis shows that each process delivered a different set of evidence. The potential for bias in knowledge assessment can challenge policy makers in their process of reviewing evidence that rationalizes policy.","container-title":"Heliyon","DOI":"10.1016/j.heliyon.2020.e04519","ISSN":"2405-8440","issue":"7","journalAbbreviation":"Heliyon","page":"e04519","source":"ScienceDirect","title":"Evidence-based policy making: determining what is evidence","title-short":"Evidence-based policy making","volume":"6","author":[{"family":"Phillips","given":"Peter W. B."},{"family":"Castle","given":"David"},{"family":"Smyth","given":"Stuart J."}],"issued":{"date-parts":[["2020",7,1]]}}},{"id":31210,"uris":["http://zotero.org/groups/4983756/items/WVV9RGKE"],"itemData":{"id":31210,"type":"article-journal","abstract":"The present crisis of science’s governance, affecting science’s reproducibility, scientific peer review and science’s integrity, offers a chance to reconsider evidence based policy as it is being practiced at present. Current evidence based policy exercises entail forms of quantification – often in the form of risk analysis or cost benefit analyses – which aim to optimize one among a set of policy options corresponding to a generally single framing of the issue under consideration. More cogently the deepening of the analysis corresponding to a single view of what the problem is has the effect of distracting from what could be alternative readings. When using evidence based policy those alternative frames become a kind of ‘uncomfortable knowledge’ which is de facto removed from the policy discourse. All the more so when the analysis is supported by extensive mathematical modelling. Thus evidence based policy may result in a dramatic simplification of the available perceptions, in flawed policy prescriptions and in the neglect of other relevant world views of legitimate stakeholders. This use of scientific method ultimately generates – rather than resolving – controversies and erodes the institutional trust of the involved actors. We suggest an alternative approach – which we term quantitative story-telling – which encourages a major effort in the pre-analytic, pre-quantitative phase of the analysis as to map a socially robust universe of possible frames, which represent different lenses through which to perceive what the problem is. This is followed by an analysis where the emphasis in not on confirmatory checks or system optimization but – the opposite – on an attempt to refute the frames if these violate constraints of feasibility (compatibility with processes outside human control); viability (compatibility with processes under human control), and desirability (compatibility with a plurality of normative considerations relevant to the system’s actors).","collection-title":"Post-Normal science in practice","container-title":"Futures","DOI":"10.1016/j.futures.2016.11.012","ISSN":"0016-3287","journalAbbreviation":"Futures","page":"62-71","source":"ScienceDirect","title":"What is wrong with evidence based policy, and how can it be improved?","volume":"91","author":[{"family":"Saltelli","given":"Andrea"},{"family":"Giampietro","given":"Mario"}],"issued":{"date-parts":[["2017",8,1]]}}}],"schema":"https://github.com/citation-style-language/schema/raw/master/csl-citation.json"} </w:instrText>
      </w:r>
      <w:r w:rsidR="4BB5E44B" w:rsidRPr="008C17AC">
        <w:rPr>
          <w:rFonts w:ascii="Times New Roman" w:eastAsia="Times New Roman" w:hAnsi="Times New Roman" w:cs="Times New Roman"/>
          <w:sz w:val="24"/>
          <w:szCs w:val="24"/>
        </w:rPr>
        <w:fldChar w:fldCharType="separate"/>
      </w:r>
      <w:r w:rsidR="1F2213C2" w:rsidRPr="008C17AC">
        <w:rPr>
          <w:rFonts w:ascii="Times New Roman" w:eastAsia="Times New Roman" w:hAnsi="Times New Roman" w:cs="Times New Roman"/>
        </w:rPr>
        <w:t>[6,7]</w:t>
      </w:r>
      <w:r w:rsidR="4BB5E44B" w:rsidRPr="008C17AC">
        <w:rPr>
          <w:rFonts w:ascii="Times New Roman" w:eastAsia="Times New Roman" w:hAnsi="Times New Roman" w:cs="Times New Roman"/>
          <w:sz w:val="24"/>
          <w:szCs w:val="24"/>
        </w:rPr>
        <w:fldChar w:fldCharType="end"/>
      </w:r>
      <w:r w:rsidR="005E34DF" w:rsidRPr="008C17AC">
        <w:rPr>
          <w:rFonts w:ascii="Times New Roman" w:eastAsia="Times New Roman" w:hAnsi="Times New Roman" w:cs="Times New Roman"/>
          <w:sz w:val="24"/>
          <w:szCs w:val="24"/>
        </w:rPr>
        <w:t>. Furthermore, studies that can be independently confirmed</w:t>
      </w:r>
      <w:r w:rsidR="00557D78" w:rsidRPr="008C17AC">
        <w:rPr>
          <w:rFonts w:ascii="Times New Roman" w:eastAsia="Times New Roman" w:hAnsi="Times New Roman" w:cs="Times New Roman"/>
          <w:sz w:val="24"/>
          <w:szCs w:val="24"/>
        </w:rPr>
        <w:t xml:space="preserve"> may </w:t>
      </w:r>
      <w:r w:rsidR="1F2213C2" w:rsidRPr="008C17AC">
        <w:rPr>
          <w:rFonts w:ascii="Times New Roman" w:eastAsia="Times New Roman" w:hAnsi="Times New Roman" w:cs="Times New Roman"/>
        </w:rPr>
        <w:t xml:space="preserve">increase public trust in the scientific enterprise </w:t>
      </w:r>
      <w:r w:rsidR="4BB5E44B" w:rsidRPr="008C17AC">
        <w:rPr>
          <w:rFonts w:ascii="Times New Roman" w:eastAsia="Times New Roman" w:hAnsi="Times New Roman" w:cs="Times New Roman"/>
          <w:sz w:val="24"/>
          <w:szCs w:val="24"/>
        </w:rPr>
        <w:fldChar w:fldCharType="begin"/>
      </w:r>
      <w:r w:rsidR="4BB5E44B" w:rsidRPr="008C17AC">
        <w:rPr>
          <w:rFonts w:ascii="Times New Roman" w:eastAsia="Times New Roman" w:hAnsi="Times New Roman" w:cs="Times New Roman"/>
          <w:sz w:val="24"/>
          <w:szCs w:val="24"/>
        </w:rPr>
        <w:instrText xml:space="preserve"> ADDIN ZOTERO_ITEM CSL_CITATION {"citationID":"JsDxXZmT","properties":{"formattedCitation":"[8,9]","plainCitation":"[8,9]","noteIndex":0},"citationItems":[{"id":31211,"uris":["http://zotero.org/groups/4983756/items/CY48ANPT"],"itemData":{"id":31211,"type":"article-journal","abstract":"In the current psychological debate, low replicability of psychological findings is a central topic. While the discussion about the replication crisis has a huge impact on psychological research, we know less about how it impacts public trust in psychology. In this article, we examine whether low replicability damages public trust and how this damage can be repaired. Studies 1–3 provide correlational and experimental evidence that low replicability reduces public trust in psychology. Additionally, Studies 3–5 evaluate the effectiveness of commonly used trust-repair strategies such as information about increased transparency (Study 3), explanations for low replicability (Study 4), or recovered replicability (Study 5). We found no evidence that these strategies significantly repair trust. However, it remains possible that they have small but potentially meaningful effects, which could be detected with larger samples. Overall, our studies highlight the importance of replicability for public trust in psychology.","container-title":"Social Psychological and Personality Science","DOI":"10.1177/1948550619877412","ISSN":"1948-5506","issue":"4","language":"en","note":"publisher: SAGE Publications Inc","page":"454-463","source":"SAGE Journals","title":"No Replication, No Trust? How Low Replicability Influences Trust in Psychology","title-short":"No Replication, No Trust?","volume":"11","author":[{"family":"Wingen","given":"Tobias"},{"family":"Berkessel","given":"Jana B."},{"family":"Englich","given":"Birte"}],"issued":{"date-parts":[["2020",5,1]]}}},{"id":31213,"uris":["http://zotero.org/groups/4983756/items/IXEDES56"],"itemData":{"id":31213,"type":"chapter","abstract":"To establish a foundation for the workshop discussions, Harvey Fineberg, president of the Gordon and Betty Moore Foundation and workshop chair, elaborated on the findings and recommendations of the recently published National Academies of Sciences, Engineering, and Medicine report Reproducibility and Replicability in Science (NASEM, 2019). Marcia McNutt, president of the National Academy of Sciences (NAS) and former editor-in-chief of Science, delivered a keynote address to participants on signaling “indicators of trust” to the scientific community and the public.","container-title":"Enhancing Scientific Reproducibility in Biomedical Research Through Transparent Reporting: Proceedings of a Workshop","language":"en","publisher":"National Academies Press (US)","source":"www.ncbi.nlm.nih.gov","title":"Transparency and Trust","URL":"https://www.ncbi.nlm.nih.gov/books/NBK556622/","author":[{"family":"National Academies of Sciences","given":"Engineering"},{"family":"Division","given":"Health and Medicine"},{"family":"Services","given":"Board on Health Care"},{"family":"Policy","given":"Board on Health Sciences"},{"family":"Health","given":"Roundtable on Genomics and Precision"},{"family":"Forum","given":"National Cancer Policy"},{"family":"Disorders","given":"Forum on Neuroscience and Nervous System"},{"family":"Forum on Drug Discovery","given":"Development"},{"family":"Shore","given":"Carolyn"},{"family":"Gee","given":"Amanda Wagner"},{"family":"Ncha","given":"Sylvia"},{"family":"Wizemann","given":"Theresa"}],"accessed":{"date-parts":[["2024",5,7]]},"issued":{"date-parts":[["2020",3,24]]}}}],"schema":"https://github.com/citation-style-language/schema/raw/master/csl-citation.json"} </w:instrText>
      </w:r>
      <w:r w:rsidR="4BB5E44B" w:rsidRPr="008C17AC">
        <w:rPr>
          <w:rFonts w:ascii="Times New Roman" w:eastAsia="Times New Roman" w:hAnsi="Times New Roman" w:cs="Times New Roman"/>
          <w:sz w:val="24"/>
          <w:szCs w:val="24"/>
        </w:rPr>
        <w:fldChar w:fldCharType="separate"/>
      </w:r>
      <w:r w:rsidR="1F2213C2" w:rsidRPr="008C17AC">
        <w:rPr>
          <w:rFonts w:ascii="Times New Roman" w:eastAsia="Times New Roman" w:hAnsi="Times New Roman" w:cs="Times New Roman"/>
        </w:rPr>
        <w:t>[8,9]</w:t>
      </w:r>
      <w:r w:rsidR="4BB5E44B" w:rsidRPr="008C17AC">
        <w:rPr>
          <w:rFonts w:ascii="Times New Roman" w:eastAsia="Times New Roman" w:hAnsi="Times New Roman" w:cs="Times New Roman"/>
          <w:sz w:val="24"/>
          <w:szCs w:val="24"/>
        </w:rPr>
        <w:fldChar w:fldCharType="end"/>
      </w:r>
      <w:r w:rsidR="1F2213C2" w:rsidRPr="008C17AC">
        <w:rPr>
          <w:rFonts w:ascii="Times New Roman" w:eastAsia="Times New Roman" w:hAnsi="Times New Roman" w:cs="Times New Roman"/>
        </w:rPr>
        <w:t xml:space="preserve">. </w:t>
      </w:r>
      <w:r w:rsidR="48FF83D3" w:rsidRPr="008C17AC">
        <w:rPr>
          <w:rFonts w:ascii="Times New Roman" w:eastAsia="Times New Roman" w:hAnsi="Times New Roman" w:cs="Times New Roman"/>
        </w:rPr>
        <w:t>Reproducibility and replicability</w:t>
      </w:r>
      <w:r w:rsidR="2D3215B6" w:rsidRPr="008C17AC">
        <w:rPr>
          <w:rFonts w:ascii="Times New Roman" w:eastAsia="Times New Roman" w:hAnsi="Times New Roman" w:cs="Times New Roman"/>
        </w:rPr>
        <w:t xml:space="preserve"> </w:t>
      </w:r>
      <w:r w:rsidR="1F2213C2" w:rsidRPr="008C17AC">
        <w:rPr>
          <w:rFonts w:ascii="Times New Roman" w:eastAsia="Times New Roman" w:hAnsi="Times New Roman" w:cs="Times New Roman"/>
        </w:rPr>
        <w:t xml:space="preserve">therefore </w:t>
      </w:r>
      <w:r w:rsidR="2D3215B6" w:rsidRPr="008C17AC">
        <w:rPr>
          <w:rFonts w:ascii="Times New Roman" w:eastAsia="Times New Roman" w:hAnsi="Times New Roman" w:cs="Times New Roman"/>
        </w:rPr>
        <w:t>underpin the credibility and reliability of research findings in many research fields</w:t>
      </w:r>
      <w:r w:rsidR="6D5FF27F" w:rsidRPr="008C17AC">
        <w:rPr>
          <w:rFonts w:ascii="Times New Roman" w:eastAsia="Times New Roman" w:hAnsi="Times New Roman" w:cs="Times New Roman"/>
        </w:rPr>
        <w:t xml:space="preserve">, </w:t>
      </w:r>
      <w:r w:rsidR="2D3215B6" w:rsidRPr="008C17AC">
        <w:rPr>
          <w:rFonts w:ascii="Times New Roman" w:eastAsia="Times New Roman" w:hAnsi="Times New Roman" w:cs="Times New Roman"/>
        </w:rPr>
        <w:t xml:space="preserve">especially in </w:t>
      </w:r>
      <w:r w:rsidR="586BAC4D" w:rsidRPr="008C17AC">
        <w:rPr>
          <w:rFonts w:ascii="Times New Roman" w:eastAsia="Times New Roman" w:hAnsi="Times New Roman" w:cs="Times New Roman"/>
        </w:rPr>
        <w:t>science, technology, engineering</w:t>
      </w:r>
      <w:r w:rsidR="06573AD6" w:rsidRPr="008C17AC">
        <w:rPr>
          <w:rFonts w:ascii="Times New Roman" w:eastAsia="Times New Roman" w:hAnsi="Times New Roman" w:cs="Times New Roman"/>
        </w:rPr>
        <w:t xml:space="preserve"> and</w:t>
      </w:r>
      <w:r w:rsidR="586BAC4D" w:rsidRPr="008C17AC">
        <w:rPr>
          <w:rFonts w:ascii="Times New Roman" w:eastAsia="Times New Roman" w:hAnsi="Times New Roman" w:cs="Times New Roman"/>
        </w:rPr>
        <w:t xml:space="preserve"> mathematics</w:t>
      </w:r>
      <w:r w:rsidR="2D3215B6" w:rsidRPr="008C17AC">
        <w:rPr>
          <w:rFonts w:ascii="Times New Roman" w:eastAsia="Times New Roman" w:hAnsi="Times New Roman" w:cs="Times New Roman"/>
        </w:rPr>
        <w:t xml:space="preserve">. </w:t>
      </w:r>
      <w:r w:rsidR="1F2213C2" w:rsidRPr="008C17AC">
        <w:rPr>
          <w:rFonts w:ascii="Times New Roman" w:eastAsia="Times New Roman" w:hAnsi="Times New Roman" w:cs="Times New Roman"/>
        </w:rPr>
        <w:t xml:space="preserve">From </w:t>
      </w:r>
      <w:r w:rsidR="00557D78" w:rsidRPr="008C17AC">
        <w:rPr>
          <w:rFonts w:ascii="Times New Roman" w:eastAsia="Times New Roman" w:hAnsi="Times New Roman" w:cs="Times New Roman"/>
        </w:rPr>
        <w:t>now</w:t>
      </w:r>
      <w:r w:rsidR="1F2213C2" w:rsidRPr="008C17AC">
        <w:rPr>
          <w:rFonts w:ascii="Times New Roman" w:eastAsia="Times New Roman" w:hAnsi="Times New Roman" w:cs="Times New Roman"/>
        </w:rPr>
        <w:t xml:space="preserve"> on in the manuscript, for brevity, we will use the word “reproducibility” to refer to both terms, as well as </w:t>
      </w:r>
      <w:r w:rsidR="00557D78" w:rsidRPr="008C17AC">
        <w:rPr>
          <w:rFonts w:ascii="Times New Roman" w:eastAsia="Times New Roman" w:hAnsi="Times New Roman" w:cs="Times New Roman"/>
        </w:rPr>
        <w:t xml:space="preserve">the </w:t>
      </w:r>
      <w:r w:rsidR="1F2213C2" w:rsidRPr="008C17AC">
        <w:rPr>
          <w:rFonts w:ascii="Times New Roman" w:eastAsia="Times New Roman" w:hAnsi="Times New Roman" w:cs="Times New Roman"/>
        </w:rPr>
        <w:t xml:space="preserve">reproducibility of methods or code, etc. (i.e., what Goodman et al. </w:t>
      </w:r>
      <w:r w:rsidR="4BB5E44B" w:rsidRPr="008C17AC">
        <w:rPr>
          <w:rFonts w:ascii="Times New Roman" w:eastAsia="Times New Roman" w:hAnsi="Times New Roman" w:cs="Times New Roman"/>
        </w:rPr>
        <w:fldChar w:fldCharType="begin"/>
      </w:r>
      <w:r w:rsidR="4BB5E44B" w:rsidRPr="008C17AC">
        <w:rPr>
          <w:rFonts w:ascii="Times New Roman" w:eastAsia="Times New Roman" w:hAnsi="Times New Roman" w:cs="Times New Roman"/>
        </w:rPr>
        <w:instrText xml:space="preserve"> ADDIN ZOTERO_ITEM CSL_CITATION {"citationID":"1JsWCv2C","properties":{"formattedCitation":"[10]","plainCitation":"[10]","noteIndex":0},"citationItems":[{"id":31322,"uris":["http://zotero.org/groups/4983756/items/73YQ9332"],"itemData":{"id":31322,"type":"article-journal","abstract":"The language and conceptual framework of “research reproducibility” are nonstandard and unsettled across the sciences. In this Perspective, we review an array of explicit and implicit definitions of reproducibility and related terminology, and discuss how to avoid potential misunderstandings when these terms are used as a surrogate for “truth.”","container-title":"Science Translational Medicine","DOI":"10.1126/scitranslmed.aaf5027","issue":"341","note":"publisher: American Association for the Advancement of Science","page":"341ps12-341ps12","source":"science.org (Atypon)","title":"What does research reproducibility mean?","volume":"8","author":[{"family":"Goodman","given":"Steven N."},{"family":"Fanelli","given":"Daniele"},{"family":"Ioannidis","given":"John P. A."}],"issued":{"date-parts":[["2016",6]]}}}],"schema":"https://github.com/citation-style-language/schema/raw/master/csl-citation.json"} </w:instrText>
      </w:r>
      <w:r w:rsidR="4BB5E44B" w:rsidRPr="008C17AC">
        <w:rPr>
          <w:rFonts w:ascii="Times New Roman" w:eastAsia="Times New Roman" w:hAnsi="Times New Roman" w:cs="Times New Roman"/>
        </w:rPr>
        <w:fldChar w:fldCharType="separate"/>
      </w:r>
      <w:r w:rsidR="53BB749B" w:rsidRPr="008C17AC">
        <w:rPr>
          <w:rFonts w:ascii="Times New Roman" w:hAnsi="Times New Roman" w:cs="Times New Roman"/>
        </w:rPr>
        <w:t>[10]</w:t>
      </w:r>
      <w:r w:rsidR="4BB5E44B" w:rsidRPr="008C17AC">
        <w:rPr>
          <w:rFonts w:ascii="Times New Roman" w:eastAsia="Times New Roman" w:hAnsi="Times New Roman" w:cs="Times New Roman"/>
        </w:rPr>
        <w:fldChar w:fldCharType="end"/>
      </w:r>
      <w:r w:rsidR="1F2213C2" w:rsidRPr="008C17AC">
        <w:rPr>
          <w:rFonts w:ascii="Times New Roman" w:eastAsia="Times New Roman" w:hAnsi="Times New Roman" w:cs="Times New Roman"/>
        </w:rPr>
        <w:t xml:space="preserve"> call “methods reproducibility”). Where more narrow usage of terms, per Nosek et al. </w:t>
      </w:r>
      <w:r w:rsidR="4BB5E44B" w:rsidRPr="008C17AC">
        <w:rPr>
          <w:rFonts w:ascii="Times New Roman" w:eastAsia="Times New Roman" w:hAnsi="Times New Roman" w:cs="Times New Roman"/>
        </w:rPr>
        <w:fldChar w:fldCharType="begin"/>
      </w:r>
      <w:r w:rsidR="4BB5E44B" w:rsidRPr="008C17AC">
        <w:rPr>
          <w:rFonts w:ascii="Times New Roman" w:eastAsia="Times New Roman" w:hAnsi="Times New Roman" w:cs="Times New Roman"/>
        </w:rPr>
        <w:instrText xml:space="preserve"> ADDIN ZOTERO_ITEM CSL_CITATION {"citationID":"MzlpyPzK","properties":{"formattedCitation":"[4]","plainCitation":"[4]","noteIndex":0},"citationItems":[{"id":28425,"uris":["http://zotero.org/groups/4983756/items/8YHMV7U5"],"itemData":{"id":28425,"type":"article-journal","abstract":"Replication—an important, uncommon, and misunderstood practice—is gaining appreciation in psychology. Achieving replicability is important for making research progress. If findings are not replicable, then prediction and theory development are stifled. If findings are replicable, then interrogation of their meaning and validity can advance knowledge. Assessing replicability can be productive for generating and testing hypotheses by actively confronting current understandings to identify weaknesses and spur innovation. For psychology, the 2010s might be characterized as a decade of active confrontation. Systematic and multi-site replication projects assessed current understandings and observed surprising failures to replicate many published findings. Replication efforts highlighted sociocultural challenges such as disincentives to conduct replications and a tendency to frame replication as a personal attack rather than a healthy scientific practice, and they raised awareness that replication contributes to self-correction. Nevertheless, innovation in doing and understanding replication and its cousins, reproducibility and robustness, has positioned psychology to improve research practices and accelerate progress.","container-title":"Annual Review of Psychology","DOI":"10.1146/annurev-psych-020821-114157","ISSN":"0066-4308, 1545-2085","issue":"1","journalAbbreviation":"Annu. Rev. Psychol.","language":"en","page":"719-748","source":"DOI.org (Crossref)","title":"Replicability, Robustness, and Reproducibility in Psychological Science","volume":"73","author":[{"family":"Nosek","given":"Brian A."},{"family":"Hardwicke","given":"Tom E."},{"family":"Moshontz","given":"Hannah"},{"family":"Allard","given":"Aurélien"},{"family":"Corker","given":"Katherine S."},{"family":"Dreber","given":"Anna"},{"family":"Fidler","given":"Fiona"},{"family":"Hilgard","given":"Joe"},{"family":"Kline Struhl","given":"Melissa"},{"family":"Nuijten","given":"Michèle B."},{"family":"Rohrer","given":"Julia M."},{"family":"Romero","given":"Felipe"},{"family":"Scheel","given":"Anne M."},{"family":"Scherer","given":"Laura D."},{"family":"Schönbrodt","given":"Felix D."},{"family":"Vazire","given":"Simine"}],"issued":{"date-parts":[["2022",1,4]]}}}],"schema":"https://github.com/citation-style-language/schema/raw/master/csl-citation.json"} </w:instrText>
      </w:r>
      <w:r w:rsidR="4BB5E44B" w:rsidRPr="008C17AC">
        <w:rPr>
          <w:rFonts w:ascii="Times New Roman" w:eastAsia="Times New Roman" w:hAnsi="Times New Roman" w:cs="Times New Roman"/>
        </w:rPr>
        <w:fldChar w:fldCharType="separate"/>
      </w:r>
      <w:r w:rsidR="53BB749B" w:rsidRPr="008C17AC">
        <w:rPr>
          <w:rFonts w:ascii="Times New Roman" w:hAnsi="Times New Roman" w:cs="Times New Roman"/>
        </w:rPr>
        <w:t>[4]</w:t>
      </w:r>
      <w:r w:rsidR="4BB5E44B" w:rsidRPr="008C17AC">
        <w:rPr>
          <w:rFonts w:ascii="Times New Roman" w:eastAsia="Times New Roman" w:hAnsi="Times New Roman" w:cs="Times New Roman"/>
        </w:rPr>
        <w:fldChar w:fldCharType="end"/>
      </w:r>
      <w:r w:rsidR="1F2213C2" w:rsidRPr="008C17AC">
        <w:rPr>
          <w:rFonts w:ascii="Times New Roman" w:eastAsia="Times New Roman" w:hAnsi="Times New Roman" w:cs="Times New Roman"/>
        </w:rPr>
        <w:t xml:space="preserve"> is intended, we will </w:t>
      </w:r>
      <w:r w:rsidR="004930B2" w:rsidRPr="008C17AC">
        <w:rPr>
          <w:rFonts w:ascii="Times New Roman" w:eastAsia="Times New Roman" w:hAnsi="Times New Roman" w:cs="Times New Roman"/>
        </w:rPr>
        <w:t>state this explicitly</w:t>
      </w:r>
      <w:r w:rsidR="1F2213C2" w:rsidRPr="008C17AC">
        <w:rPr>
          <w:rFonts w:ascii="Times New Roman" w:eastAsia="Times New Roman" w:hAnsi="Times New Roman" w:cs="Times New Roman"/>
        </w:rPr>
        <w:t>.</w:t>
      </w:r>
    </w:p>
    <w:p w14:paraId="0E52BE9C" w14:textId="7FB26657" w:rsidR="009D0FED" w:rsidRPr="008C17AC" w:rsidRDefault="283103AD" w:rsidP="23EF21E2">
      <w:pPr>
        <w:spacing w:after="120" w:line="360" w:lineRule="auto"/>
        <w:ind w:left="-20" w:right="-20" w:firstLine="587"/>
        <w:rPr>
          <w:rFonts w:ascii="Times New Roman" w:eastAsia="Times New Roman" w:hAnsi="Times New Roman" w:cs="Times New Roman"/>
        </w:rPr>
      </w:pPr>
      <w:r w:rsidRPr="008C17AC">
        <w:rPr>
          <w:rFonts w:ascii="Times New Roman" w:eastAsia="Times New Roman" w:hAnsi="Times New Roman" w:cs="Times New Roman"/>
        </w:rPr>
        <w:t>D</w:t>
      </w:r>
      <w:r w:rsidR="0D0F5052" w:rsidRPr="008C17AC">
        <w:rPr>
          <w:rFonts w:ascii="Times New Roman" w:eastAsia="Times New Roman" w:hAnsi="Times New Roman" w:cs="Times New Roman"/>
        </w:rPr>
        <w:t>ebate</w:t>
      </w:r>
      <w:r w:rsidR="25133E58" w:rsidRPr="008C17AC">
        <w:rPr>
          <w:rFonts w:ascii="Times New Roman" w:eastAsia="Times New Roman" w:hAnsi="Times New Roman" w:cs="Times New Roman"/>
        </w:rPr>
        <w:t>s</w:t>
      </w:r>
      <w:r w:rsidR="0D0F5052" w:rsidRPr="008C17AC">
        <w:rPr>
          <w:rFonts w:ascii="Times New Roman" w:eastAsia="Times New Roman" w:hAnsi="Times New Roman" w:cs="Times New Roman"/>
        </w:rPr>
        <w:t xml:space="preserve"> on reproducibility </w:t>
      </w:r>
      <w:r w:rsidR="6AFE0917" w:rsidRPr="008C17AC">
        <w:rPr>
          <w:rFonts w:ascii="Times New Roman" w:eastAsia="Times New Roman" w:hAnsi="Times New Roman" w:cs="Times New Roman"/>
        </w:rPr>
        <w:t xml:space="preserve">have </w:t>
      </w:r>
      <w:r w:rsidR="0D0F5052" w:rsidRPr="008C17AC">
        <w:rPr>
          <w:rFonts w:ascii="Times New Roman" w:eastAsia="Times New Roman" w:hAnsi="Times New Roman" w:cs="Times New Roman"/>
        </w:rPr>
        <w:t>gain</w:t>
      </w:r>
      <w:r w:rsidR="600FB37F" w:rsidRPr="008C17AC">
        <w:rPr>
          <w:rFonts w:ascii="Times New Roman" w:eastAsia="Times New Roman" w:hAnsi="Times New Roman" w:cs="Times New Roman"/>
        </w:rPr>
        <w:t>ed</w:t>
      </w:r>
      <w:r w:rsidR="0D0F5052" w:rsidRPr="008C17AC">
        <w:rPr>
          <w:rFonts w:ascii="Times New Roman" w:eastAsia="Times New Roman" w:hAnsi="Times New Roman" w:cs="Times New Roman"/>
        </w:rPr>
        <w:t xml:space="preserve"> </w:t>
      </w:r>
      <w:r w:rsidR="3F9BE8B7" w:rsidRPr="008C17AC">
        <w:rPr>
          <w:rFonts w:ascii="Times New Roman" w:eastAsia="Times New Roman" w:hAnsi="Times New Roman" w:cs="Times New Roman"/>
        </w:rPr>
        <w:t>increas</w:t>
      </w:r>
      <w:r w:rsidR="7B5F487B" w:rsidRPr="008C17AC">
        <w:rPr>
          <w:rFonts w:ascii="Times New Roman" w:eastAsia="Times New Roman" w:hAnsi="Times New Roman" w:cs="Times New Roman"/>
        </w:rPr>
        <w:t>ing</w:t>
      </w:r>
      <w:r w:rsidR="3F9BE8B7" w:rsidRPr="008C17AC">
        <w:rPr>
          <w:rFonts w:ascii="Times New Roman" w:eastAsia="Times New Roman" w:hAnsi="Times New Roman" w:cs="Times New Roman"/>
        </w:rPr>
        <w:t xml:space="preserve"> </w:t>
      </w:r>
      <w:r w:rsidR="0D0F5052" w:rsidRPr="008C17AC">
        <w:rPr>
          <w:rFonts w:ascii="Times New Roman" w:eastAsia="Times New Roman" w:hAnsi="Times New Roman" w:cs="Times New Roman"/>
        </w:rPr>
        <w:t>prominence</w:t>
      </w:r>
      <w:r w:rsidR="43540F34" w:rsidRPr="008C17AC">
        <w:rPr>
          <w:rFonts w:ascii="Times New Roman" w:eastAsia="Times New Roman" w:hAnsi="Times New Roman" w:cs="Times New Roman"/>
        </w:rPr>
        <w:t xml:space="preserve"> </w:t>
      </w:r>
      <w:r w:rsidR="70B871F8" w:rsidRPr="008C17AC">
        <w:rPr>
          <w:rFonts w:ascii="Times New Roman" w:eastAsia="Times New Roman" w:hAnsi="Times New Roman" w:cs="Times New Roman"/>
        </w:rPr>
        <w:t xml:space="preserve">in </w:t>
      </w:r>
      <w:r w:rsidR="322668DA" w:rsidRPr="008C17AC">
        <w:rPr>
          <w:rFonts w:ascii="Times New Roman" w:eastAsia="Times New Roman" w:hAnsi="Times New Roman" w:cs="Times New Roman"/>
        </w:rPr>
        <w:t xml:space="preserve">various </w:t>
      </w:r>
      <w:r w:rsidR="1FF5F62F" w:rsidRPr="008C17AC">
        <w:rPr>
          <w:rFonts w:ascii="Times New Roman" w:eastAsia="Times New Roman" w:hAnsi="Times New Roman" w:cs="Times New Roman"/>
        </w:rPr>
        <w:t xml:space="preserve">scholarly </w:t>
      </w:r>
      <w:r w:rsidR="396C1FF9" w:rsidRPr="008C17AC">
        <w:rPr>
          <w:rFonts w:ascii="Times New Roman" w:eastAsia="Times New Roman" w:hAnsi="Times New Roman" w:cs="Times New Roman"/>
        </w:rPr>
        <w:t>fields</w:t>
      </w:r>
      <w:r w:rsidR="43540F34" w:rsidRPr="008C17AC">
        <w:rPr>
          <w:rFonts w:ascii="Times New Roman" w:eastAsia="Times New Roman" w:hAnsi="Times New Roman" w:cs="Times New Roman"/>
        </w:rPr>
        <w:t xml:space="preserve">, </w:t>
      </w:r>
      <w:r w:rsidR="77738094" w:rsidRPr="008C17AC">
        <w:rPr>
          <w:rFonts w:ascii="Times New Roman" w:eastAsia="Times New Roman" w:hAnsi="Times New Roman" w:cs="Times New Roman"/>
        </w:rPr>
        <w:t xml:space="preserve">as well as </w:t>
      </w:r>
      <w:r w:rsidR="4F25507C" w:rsidRPr="008C17AC">
        <w:rPr>
          <w:rFonts w:ascii="Times New Roman" w:eastAsia="Times New Roman" w:hAnsi="Times New Roman" w:cs="Times New Roman"/>
        </w:rPr>
        <w:t xml:space="preserve">in </w:t>
      </w:r>
      <w:r w:rsidR="77738094" w:rsidRPr="008C17AC">
        <w:rPr>
          <w:rFonts w:ascii="Times New Roman" w:eastAsia="Times New Roman" w:hAnsi="Times New Roman" w:cs="Times New Roman"/>
        </w:rPr>
        <w:t>the</w:t>
      </w:r>
      <w:r w:rsidR="43540F34" w:rsidRPr="008C17AC">
        <w:rPr>
          <w:rFonts w:ascii="Times New Roman" w:eastAsia="Times New Roman" w:hAnsi="Times New Roman" w:cs="Times New Roman"/>
        </w:rPr>
        <w:t xml:space="preserve"> </w:t>
      </w:r>
      <w:r w:rsidR="1DB8075B" w:rsidRPr="008C17AC">
        <w:rPr>
          <w:rFonts w:ascii="Times New Roman" w:eastAsia="Times New Roman" w:hAnsi="Times New Roman" w:cs="Times New Roman"/>
        </w:rPr>
        <w:t xml:space="preserve">general </w:t>
      </w:r>
      <w:r w:rsidR="43540F34" w:rsidRPr="008C17AC">
        <w:rPr>
          <w:rFonts w:ascii="Times New Roman" w:eastAsia="Times New Roman" w:hAnsi="Times New Roman" w:cs="Times New Roman"/>
        </w:rPr>
        <w:t xml:space="preserve">press </w:t>
      </w:r>
      <w:r w:rsidR="004930B2" w:rsidRPr="008C17AC">
        <w:rPr>
          <w:rFonts w:ascii="Times New Roman" w:eastAsia="Times New Roman" w:hAnsi="Times New Roman" w:cs="Times New Roman"/>
        </w:rPr>
        <w:fldChar w:fldCharType="begin"/>
      </w:r>
      <w:r w:rsidR="004930B2" w:rsidRPr="008C17AC">
        <w:rPr>
          <w:rFonts w:ascii="Times New Roman" w:eastAsia="Times New Roman" w:hAnsi="Times New Roman" w:cs="Times New Roman"/>
        </w:rPr>
        <w:instrText xml:space="preserve"> ADDIN ZOTERO_ITEM CSL_CITATION {"citationID":"MLO1YjKO","properties":{"formattedCitation":"[11,12]","plainCitation":"[11,12]","noteIndex":0},"citationItems":[{"id":31319,"uris":["http://zotero.org/groups/4983756/items/35WMWHKG"],"itemData":{"id":31319,"type":"article-newspaper","abstract":"Science is mired in a “replication” crisis. Fixing it will not be easy.","container-title":"The New York Times","ISSN":"0362-4331","language":"en-US","section":"Science","source":"NYTimes.com","title":"Essay: The Experiments Are Fascinating. But Nobody Can Repeat Them.","title-short":"Essay","URL":"https://www.nytimes.com/2018/11/19/science/science-research-fraud-reproducibility.html","author":[{"family":"Gelman","given":"Andrew"}],"accessed":{"date-parts":[["2024",5,21]]},"issued":{"date-parts":[["2018",11,20]]}}},{"id":31318,"uris":["http://zotero.org/groups/4983756/items/DBB5Z49M"],"itemData":{"id":31318,"type":"article-newspaper","abstract":"Science is facing a \"reproducibility crisis\" as scientists fail to reproduce others' work, it is claimed.","container-title":"BBC News","language":"en-GB","section":"Science &amp; Environment","source":"www.bbc.com","title":"Most scientists 'can't replicate studies by their peers'","URL":"https://www.bbc.com/news/science-environment-39054778","author":[{"family":"Feilden","given":"Tom"}],"accessed":{"date-parts":[["2024",5,21]]},"issued":{"date-parts":[["2017",2,22]]}}}],"schema":"https://github.com/citation-style-language/schema/raw/master/csl-citation.json"} </w:instrText>
      </w:r>
      <w:r w:rsidR="004930B2" w:rsidRPr="008C17AC">
        <w:rPr>
          <w:rFonts w:ascii="Times New Roman" w:eastAsia="Times New Roman" w:hAnsi="Times New Roman" w:cs="Times New Roman"/>
        </w:rPr>
        <w:fldChar w:fldCharType="separate"/>
      </w:r>
      <w:r w:rsidR="28B9B22B" w:rsidRPr="008C17AC">
        <w:rPr>
          <w:rFonts w:ascii="Times New Roman" w:hAnsi="Times New Roman" w:cs="Times New Roman"/>
        </w:rPr>
        <w:t>[11,12]</w:t>
      </w:r>
      <w:r w:rsidR="004930B2" w:rsidRPr="008C17AC">
        <w:rPr>
          <w:rFonts w:ascii="Times New Roman" w:eastAsia="Times New Roman" w:hAnsi="Times New Roman" w:cs="Times New Roman"/>
        </w:rPr>
        <w:fldChar w:fldCharType="end"/>
      </w:r>
      <w:r w:rsidR="0D0F5052" w:rsidRPr="008C17AC">
        <w:rPr>
          <w:rFonts w:ascii="Times New Roman" w:eastAsia="Times New Roman" w:hAnsi="Times New Roman" w:cs="Times New Roman"/>
        </w:rPr>
        <w:t xml:space="preserve">. </w:t>
      </w:r>
      <w:r w:rsidR="361A3D98" w:rsidRPr="008C17AC">
        <w:rPr>
          <w:rFonts w:ascii="Times New Roman" w:eastAsia="Times New Roman" w:hAnsi="Times New Roman" w:cs="Times New Roman"/>
        </w:rPr>
        <w:t>Pivotal to th</w:t>
      </w:r>
      <w:r w:rsidR="7707FA6D" w:rsidRPr="008C17AC">
        <w:rPr>
          <w:rFonts w:ascii="Times New Roman" w:eastAsia="Times New Roman" w:hAnsi="Times New Roman" w:cs="Times New Roman"/>
        </w:rPr>
        <w:t xml:space="preserve">is debate </w:t>
      </w:r>
      <w:r w:rsidR="361A3D98" w:rsidRPr="008C17AC">
        <w:rPr>
          <w:rFonts w:ascii="Times New Roman" w:eastAsia="Times New Roman" w:hAnsi="Times New Roman" w:cs="Times New Roman"/>
        </w:rPr>
        <w:t xml:space="preserve">were failures to reproduce study findings across </w:t>
      </w:r>
      <w:r w:rsidR="39665375" w:rsidRPr="008C17AC">
        <w:rPr>
          <w:rFonts w:ascii="Times New Roman" w:eastAsia="Times New Roman" w:hAnsi="Times New Roman" w:cs="Times New Roman"/>
        </w:rPr>
        <w:t xml:space="preserve">the </w:t>
      </w:r>
      <w:r w:rsidR="4C81DC35" w:rsidRPr="008C17AC">
        <w:rPr>
          <w:rFonts w:ascii="Times New Roman" w:eastAsia="Times New Roman" w:hAnsi="Times New Roman" w:cs="Times New Roman"/>
        </w:rPr>
        <w:t>medical</w:t>
      </w:r>
      <w:r w:rsidR="115B34FB" w:rsidRPr="008C17AC">
        <w:rPr>
          <w:rFonts w:ascii="Times New Roman" w:eastAsia="Times New Roman" w:hAnsi="Times New Roman" w:cs="Times New Roman"/>
        </w:rPr>
        <w:t>,</w:t>
      </w:r>
      <w:r w:rsidR="4C81DC35" w:rsidRPr="008C17AC">
        <w:rPr>
          <w:rFonts w:ascii="Times New Roman" w:eastAsia="Times New Roman" w:hAnsi="Times New Roman" w:cs="Times New Roman"/>
        </w:rPr>
        <w:t xml:space="preserve"> behavioural</w:t>
      </w:r>
      <w:r w:rsidR="21A59EDA" w:rsidRPr="008C17AC">
        <w:rPr>
          <w:rFonts w:ascii="Times New Roman" w:eastAsia="Times New Roman" w:hAnsi="Times New Roman" w:cs="Times New Roman"/>
        </w:rPr>
        <w:t xml:space="preserve"> and </w:t>
      </w:r>
      <w:r w:rsidR="4C81DC35" w:rsidRPr="008C17AC">
        <w:rPr>
          <w:rFonts w:ascii="Times New Roman" w:eastAsia="Times New Roman" w:hAnsi="Times New Roman" w:cs="Times New Roman"/>
        </w:rPr>
        <w:t>social science</w:t>
      </w:r>
      <w:r w:rsidR="6A836897" w:rsidRPr="008C17AC">
        <w:rPr>
          <w:rFonts w:ascii="Times New Roman" w:eastAsia="Times New Roman" w:hAnsi="Times New Roman" w:cs="Times New Roman"/>
        </w:rPr>
        <w:t>s</w:t>
      </w:r>
      <w:r w:rsidR="19B30C6E" w:rsidRPr="008C17AC">
        <w:rPr>
          <w:rFonts w:ascii="Times New Roman" w:eastAsia="Times New Roman" w:hAnsi="Times New Roman" w:cs="Times New Roman"/>
        </w:rPr>
        <w:t>. Fields like</w:t>
      </w:r>
      <w:r w:rsidR="361A3D98" w:rsidRPr="008C17AC">
        <w:rPr>
          <w:rFonts w:ascii="Times New Roman" w:eastAsia="Times New Roman" w:hAnsi="Times New Roman" w:cs="Times New Roman"/>
        </w:rPr>
        <w:t xml:space="preserve"> psychology</w:t>
      </w:r>
      <w:r w:rsidR="5620031D" w:rsidRPr="008C17AC">
        <w:rPr>
          <w:rFonts w:ascii="Times New Roman" w:eastAsia="Times New Roman" w:hAnsi="Times New Roman" w:cs="Times New Roman"/>
        </w:rPr>
        <w:t xml:space="preserve"> </w:t>
      </w:r>
      <w:r w:rsidR="004930B2" w:rsidRPr="008C17AC">
        <w:rPr>
          <w:rFonts w:ascii="Times New Roman" w:eastAsia="Times New Roman" w:hAnsi="Times New Roman" w:cs="Times New Roman"/>
          <w:sz w:val="24"/>
          <w:szCs w:val="24"/>
        </w:rPr>
        <w:fldChar w:fldCharType="begin"/>
      </w:r>
      <w:r w:rsidR="004930B2" w:rsidRPr="008C17AC">
        <w:rPr>
          <w:rFonts w:ascii="Times New Roman" w:eastAsia="Times New Roman" w:hAnsi="Times New Roman" w:cs="Times New Roman"/>
          <w:sz w:val="24"/>
          <w:szCs w:val="24"/>
        </w:rPr>
        <w:instrText xml:space="preserve"> ADDIN ZOTERO_ITEM CSL_CITATION {"citationID":"AIRwuAvc","properties":{"formattedCitation":"[13]","plainCitation":"[13]","noteIndex":0},"citationItems":[{"id":31261,"uris":["http://zotero.org/groups/4983756/items/398ZCEBL"],"itemData":{"id":31261,"type":"article-journal","abstract":"Empirically analyzing empirical evidence\n            \n              One of the central goals in any scientific endeavor is to understand causality. Experiments that seek to demonstrate a cause/effect relation most often manipulate the postulated causal factor. Aarts\n              et al.\n              describe the replication of 100 experiments reported in papers published in 2008 in three high-ranking psychology journals. Assessing whether the replication and the original experiment yielded the same result according to several criteria, they find that about one-third to one-half of the original findings were also observed in the replication study.\n            \n            \n              Science\n              , this issue\n              10.1126/science.aac4716\n            \n          , \n            A large-scale assessment suggests that experimental reproducibility in psychology leaves a lot to be desired.\n          , \n            \n              INTRODUCTION\n              Reproducibility is a defining feature of science, but the extent to which it characterizes current research is unknown. Scientific claims should not gain credence because of the status or authority of their originator but by the replicability of their supporting evidence. Even research of exemplary quality may have irreproducible empirical findings because of random or systematic error.\n            \n            \n              RATIONALE\n              There is concern about the rate and predictors of reproducibility, but limited evidence. Potentially problematic practices include selective reporting, selective analysis, and insufficient specification of the conditions necessary or sufficient to obtain the results. Direct replication is the attempt to recreate the conditions believed sufficient for obtaining a previously observed finding and is the means of establishing reproducibility of a finding with new data. We conducted a large-scale, collaborative effort to obtain an initial estimate of the reproducibility of psychological science.\n            \n            \n              RESULTS\n              \n                We conducted replications of 100 experimental and correlational studies published in three psychology journals using high-powered designs and original materials when available. There is no single standard for evaluating replication success. Here, we evaluated reproducibility using significance and\n                P\n                values, effect sizes, subjective assessments of replication teams, and meta-analysis of effect sizes. The mean effect size (r) of the replication effects (\n                M\n                r\n                = 0.197, SD = 0.257) was half the magnitude of the mean effect size of the original effects (\n                M\n                r\n                = 0.403, SD = 0.188), representing a substantial decline. Ninety-seven percent of original studies had significant results (\n                P\n                &lt; .05). Thirty-six percent of replications had significant results; 47% of original effect sizes were in the 95% confidence interval of the replication effect size; 39% of effects were subjectively rated to have replicated the original result; and if no bias in original results is assumed, combining original and replication results left 68% with statistically significant effects. Correlational tests suggest that replication success was better predicted by the strength of original evidence than by characteristics of the original and replication teams.\n              \n            \n            \n              CONCLUSION\n              \n                No single indicator sufficiently describes replication success, and the five indicators examined here are not the only ways to evaluate reproducibility. Nonetheless, collectively these results offer a clear conclusion: A large portion of replications produced weaker evidence for the original findings despite using materials provided by the original authors, review in advance for methodological fidelity, and high statistical power to detect the original effect sizes. Moreover, correlational evidence is consistent with the conclusion that variation in the strength of initial evidence (such as original\n                P\n                value) was more predictive of replication success than variation in the characteristics of the teams conducting the research (such as experience and expertise). The latter factors certainly can influence replication success, but they did not appear to do so here.\n              \n              Reproducibility is not well understood because the incentives for individual scientists prioritize novelty over replication. Innovation is the engine of discovery and is vital for a productive, effective scientific enterprise. However, innovative ideas become old news fast. Journal reviewers and editors may dismiss a new test of a published idea as unoriginal. The claim that “we already know this” belies the uncertainty of scientific evidence. Innovation points out paths that are possible; replication points out paths that are likely; progress relies on both. Replication can increase certainty when findings are reproduced and promote innovation when they are not. This project provides accumulating evidence for many findings in psychological research and suggests that there is still more work to do to verify whether we know what we think we know.\n              \n                \n                  Original study effect size versus replication effect size (correlation coefficients).\n                  Diagonal line represents replication effect size equal to original effect size. Dotted line represents replication effect size of 0. Points below the dotted line were effects in the opposite direction of the original. Density plots are separated by significant (blue) and nonsignificant (red) effects.\n                \n                \n              \n            \n          , \n            Reproducibility is a defining feature of science, but the extent to which it characterizes current research is unknown. We conducted replications of 100 experimental and correlational studies published in three psychology journals using high-powered designs and original materials when available. Replication effects were half the magnitude of original effects, representing a substantial decline. Ninety-seven percent of original studies had statistically significant results. Thirty-six percent of replications had statistically significant results; 47% of original effect sizes were in the 95% confidence interval of the replication effect size; 39% of effects were subjectively rated to have replicated the original result; and if no bias in original results is assumed, combining original and replication results left 68% with statistically significant effects. Correlational tests suggest that replication success was better predicted by the strength of original evidence than by characteristics of the original and replication teams.","container-title":"Science","DOI":"10.1126/science.aac4716","ISSN":"0036-8075, 1095-9203","issue":"6251","journalAbbreviation":"Science","language":"en","license":"http://www.sciencemag.org/about/science-licenses-journal-article-reuse","page":"aac4716","source":"DOI.org (Crossref)","title":"Estimating the reproducibility of psychological science","volume":"349","author":[{"literal":"Open Science Collaboration"}],"issued":{"date-parts":[["2015",8,28]]}}}],"schema":"https://github.com/citation-style-language/schema/raw/master/csl-citation.json"} </w:instrText>
      </w:r>
      <w:r w:rsidR="004930B2" w:rsidRPr="008C17AC">
        <w:rPr>
          <w:rFonts w:ascii="Times New Roman" w:eastAsia="Times New Roman" w:hAnsi="Times New Roman" w:cs="Times New Roman"/>
          <w:sz w:val="24"/>
          <w:szCs w:val="24"/>
        </w:rPr>
        <w:fldChar w:fldCharType="separate"/>
      </w:r>
      <w:r w:rsidR="28B9B22B" w:rsidRPr="008C17AC">
        <w:rPr>
          <w:rFonts w:ascii="Times New Roman" w:hAnsi="Times New Roman" w:cs="Times New Roman"/>
        </w:rPr>
        <w:t>[13]</w:t>
      </w:r>
      <w:r w:rsidR="004930B2" w:rsidRPr="008C17AC">
        <w:rPr>
          <w:rFonts w:ascii="Times New Roman" w:eastAsia="Times New Roman" w:hAnsi="Times New Roman" w:cs="Times New Roman"/>
          <w:sz w:val="24"/>
          <w:szCs w:val="24"/>
        </w:rPr>
        <w:fldChar w:fldCharType="end"/>
      </w:r>
      <w:r w:rsidR="361A3D98" w:rsidRPr="008C17AC">
        <w:rPr>
          <w:rFonts w:ascii="Times New Roman" w:eastAsia="Times New Roman" w:hAnsi="Times New Roman" w:cs="Times New Roman"/>
        </w:rPr>
        <w:t>, biomedical research</w:t>
      </w:r>
      <w:r w:rsidR="01967643" w:rsidRPr="008C17AC">
        <w:rPr>
          <w:rFonts w:ascii="Times New Roman" w:eastAsia="Times New Roman" w:hAnsi="Times New Roman" w:cs="Times New Roman"/>
        </w:rPr>
        <w:t xml:space="preserve"> </w:t>
      </w:r>
      <w:r w:rsidR="004930B2" w:rsidRPr="008C17AC">
        <w:rPr>
          <w:rFonts w:ascii="Times New Roman" w:eastAsia="Times New Roman" w:hAnsi="Times New Roman" w:cs="Times New Roman"/>
          <w:sz w:val="24"/>
          <w:szCs w:val="24"/>
        </w:rPr>
        <w:fldChar w:fldCharType="begin"/>
      </w:r>
      <w:r w:rsidR="004930B2" w:rsidRPr="008C17AC">
        <w:rPr>
          <w:rFonts w:ascii="Times New Roman" w:eastAsia="Times New Roman" w:hAnsi="Times New Roman" w:cs="Times New Roman"/>
          <w:sz w:val="24"/>
          <w:szCs w:val="24"/>
        </w:rPr>
        <w:instrText xml:space="preserve"> ADDIN ZOTERO_ITEM CSL_CITATION {"citationID":"bAAT5S45","properties":{"formattedCitation":"[14,15]","plainCitation":"[14,15]","noteIndex":0},"citationItems":[{"id":31262,"uris":["http://zotero.org/groups/4983756/items/BPMZLBQ6"],"itemData":{"id":31262,"type":"article-journal","container-title":"Nature Reviews Drug Discovery","DOI":"10.1038/nrd3439-c1","ISSN":"1474-1776, 1474-1784","issue":"9","journalAbbreviation":"Nat Rev Drug Discov","language":"en","license":"http://www.springer.com/tdm","page":"712-712","source":"DOI.org (Crossref)","title":"Believe it or not: how much can we rely on published data on potential drug targets?","title-short":"Believe it or not","volume":"10","author":[{"family":"Prinz","given":"Florian"},{"family":"Schlange","given":"Thomas"},{"family":"Asadullah","given":"Khusru"}],"issued":{"date-parts":[["2011",9]]}}},{"id":28594,"uris":["http://zotero.org/groups/4983756/items/IN8BQI65"],"itemData":{"id":28594,"type":"article-journal","abstract":"Replicability is an important feature of scientific research, but aspects of contemporary research culture, such as an emphasis on novelty, can make replicability seem less important than it should be. The Reproducibility Project: Cancer Biology was set up to provide evidence about the replicability of preclinical research in cancer biology by repeating selected experiments from high-impact papers. A total of 50 experiments from 23 papers were repeated, generating data about the replicability of a total of 158 effects. Most of the original effects were positive effects (136), with the rest being null effects (22). A majority of the original effect sizes were reported as numerical values (117), with the rest being reported as representative images (41). We employed seven methods to assess replicability, and some of these methods were not suitable for all the effects in our sample. One method compared effect sizes: for positive effects, the median effect size in the replications was 85% smaller than the median effect size in the original experiments, and 92% of replication effect sizes were smaller than the original. The other methods were binary - the replication was either a success or a failure - and five of these methods could be used to assess both positive and null effects when effect sizes were reported as numerical values. For positive effects, 40% of replications (39/97) succeeded according to three or more of these five methods, and for null effects 80% of replications (12/15) were successful on this basis; combining positive and null effects, the success rate was 46% (51/112). A successful replication does not definitively confirm an original finding or its theoretical interpretation. Equally, a failure to replicate does not disconfirm a finding, but it does suggest that additional investigation is needed to establish its reliability.","archive":"Medline","archive_location":"34874005","container-title":"Elife","DOI":"10.7554/eLife.71601","ISSN":"2050-084X (Electronic) 2050-084X (Linking)","page":"null","source":"NLM","title":"Investigating the replicability of preclinical cancer biology","volume":"10","author":[{"family":"Errington","given":"T. M."},{"family":"Mathur","given":"M."},{"family":"Soderberg","given":"C. K."},{"family":"Denis","given":"A."},{"family":"Perfito","given":"N."},{"family":"Iorns","given":"E."},{"family":"Nosek","given":"B. A."}],"issued":{"date-parts":[["2021",12,7]]}}}],"schema":"https://github.com/citation-style-language/schema/raw/master/csl-citation.json"} </w:instrText>
      </w:r>
      <w:r w:rsidR="004930B2" w:rsidRPr="008C17AC">
        <w:rPr>
          <w:rFonts w:ascii="Times New Roman" w:eastAsia="Times New Roman" w:hAnsi="Times New Roman" w:cs="Times New Roman"/>
          <w:sz w:val="24"/>
          <w:szCs w:val="24"/>
        </w:rPr>
        <w:fldChar w:fldCharType="separate"/>
      </w:r>
      <w:r w:rsidR="28B9B22B" w:rsidRPr="008C17AC">
        <w:rPr>
          <w:rFonts w:ascii="Times New Roman" w:hAnsi="Times New Roman" w:cs="Times New Roman"/>
        </w:rPr>
        <w:t>[14,15]</w:t>
      </w:r>
      <w:r w:rsidR="004930B2" w:rsidRPr="008C17AC">
        <w:rPr>
          <w:rFonts w:ascii="Times New Roman" w:eastAsia="Times New Roman" w:hAnsi="Times New Roman" w:cs="Times New Roman"/>
          <w:sz w:val="24"/>
          <w:szCs w:val="24"/>
        </w:rPr>
        <w:fldChar w:fldCharType="end"/>
      </w:r>
      <w:r w:rsidR="361A3D98" w:rsidRPr="008C17AC">
        <w:rPr>
          <w:rFonts w:ascii="Times New Roman" w:eastAsia="Times New Roman" w:hAnsi="Times New Roman" w:cs="Times New Roman"/>
        </w:rPr>
        <w:t>, economics</w:t>
      </w:r>
      <w:r w:rsidR="0E94D7C5" w:rsidRPr="008C17AC">
        <w:rPr>
          <w:rFonts w:ascii="Times New Roman" w:eastAsia="Times New Roman" w:hAnsi="Times New Roman" w:cs="Times New Roman"/>
        </w:rPr>
        <w:t xml:space="preserve"> </w:t>
      </w:r>
      <w:r w:rsidR="004930B2" w:rsidRPr="008C17AC">
        <w:rPr>
          <w:rFonts w:ascii="Times New Roman" w:eastAsia="Times New Roman" w:hAnsi="Times New Roman" w:cs="Times New Roman"/>
          <w:sz w:val="24"/>
          <w:szCs w:val="24"/>
        </w:rPr>
        <w:fldChar w:fldCharType="begin"/>
      </w:r>
      <w:r w:rsidR="004930B2" w:rsidRPr="008C17AC">
        <w:rPr>
          <w:rFonts w:ascii="Times New Roman" w:eastAsia="Times New Roman" w:hAnsi="Times New Roman" w:cs="Times New Roman"/>
          <w:sz w:val="24"/>
          <w:szCs w:val="24"/>
        </w:rPr>
        <w:instrText xml:space="preserve"> ADDIN ZOTERO_ITEM CSL_CITATION {"citationID":"9AIVM8lU","properties":{"formattedCitation":"[16]","plainCitation":"[16]","noteIndex":0},"citationItems":[{"id":31268,"uris":["http://zotero.org/groups/4983756/items/X8WE7Q7S"],"itemData":{"id":31268,"type":"article-journal","abstract":"Another social science looks at itself\n            \n              Experimental economists have joined the reproducibility discussion by replicating selected published experiments from two top-tier journals in economics. Camerer\n              et al.\n              found that two-thirds of the 18 studies examined yielded replicable estimates of effect size and direction. This proportion is somewhat lower than unaffiliated experts were willing to bet in an associated prediction market, but roughly in line with expectations from sample sizes and P values.\n            \n            \n              Science\n              , this issue p.\n              1433\n            \n          , \n            By several metrics, economics experiments do replicate, although not as often as predicted.\n          , \n            \n              The replicability of some scientific findings has recently been called into question. To contribute data about replicability in economics, we replicated 18 studies published in the\n              American Economic Review\n              and the\n              Quarterly Journal of Economics\n              between 2011 and 2014. All of these replications followed predefined analysis plans that were made publicly available beforehand, and they all have a statistical power of at least 90% to detect the original effect size at the 5% significance level. We found a significant effect in the same direction as in the original study for 11 replications (61%); on average, the replicated effect size is 66% of the original. The replicability rate varies between 67% and 78% for four additional replicability indicators, including a prediction market measure of peer beliefs.","container-title":"Science","DOI":"10.1126/science.aaf0918","ISSN":"0036-8075, 1095-9203","issue":"6280","journalAbbreviation":"Science","language":"en","page":"1433-1436","source":"DOI.org (Crossref)","title":"Evaluating replicability of laboratory experiments in economics","volume":"351","author":[{"family":"Camerer","given":"Colin F."},{"family":"Dreber","given":"Anna"},{"family":"Forsell","given":"Eskil"},{"family":"Ho","given":"Teck-Hua"},{"family":"Huber","given":"Jürgen"},{"family":"Johannesson","given":"Magnus"},{"family":"Kirchler","given":"Michael"},{"family":"Almenberg","given":"Johan"},{"family":"Altmejd","given":"Adam"},{"family":"Chan","given":"Taizan"},{"family":"Heikensten","given":"Emma"},{"family":"Holzmeister","given":"Felix"},{"family":"Imai","given":"Taisuke"},{"family":"Isaksson","given":"Siri"},{"family":"Nave","given":"Gideon"},{"family":"Pfeiffer","given":"Thomas"},{"family":"Razen","given":"Michael"},{"family":"Wu","given":"Hang"}],"issued":{"date-parts":[["2016",3,25]]}}}],"schema":"https://github.com/citation-style-language/schema/raw/master/csl-citation.json"} </w:instrText>
      </w:r>
      <w:r w:rsidR="004930B2" w:rsidRPr="008C17AC">
        <w:rPr>
          <w:rFonts w:ascii="Times New Roman" w:eastAsia="Times New Roman" w:hAnsi="Times New Roman" w:cs="Times New Roman"/>
          <w:sz w:val="24"/>
          <w:szCs w:val="24"/>
        </w:rPr>
        <w:fldChar w:fldCharType="separate"/>
      </w:r>
      <w:r w:rsidR="28B9B22B" w:rsidRPr="008C17AC">
        <w:rPr>
          <w:rFonts w:ascii="Times New Roman" w:hAnsi="Times New Roman" w:cs="Times New Roman"/>
        </w:rPr>
        <w:t>[16]</w:t>
      </w:r>
      <w:r w:rsidR="004930B2" w:rsidRPr="008C17AC">
        <w:rPr>
          <w:rFonts w:ascii="Times New Roman" w:eastAsia="Times New Roman" w:hAnsi="Times New Roman" w:cs="Times New Roman"/>
          <w:sz w:val="24"/>
          <w:szCs w:val="24"/>
        </w:rPr>
        <w:fldChar w:fldCharType="end"/>
      </w:r>
      <w:r w:rsidR="361A3D98" w:rsidRPr="008C17AC">
        <w:rPr>
          <w:rFonts w:ascii="Times New Roman" w:eastAsia="Times New Roman" w:hAnsi="Times New Roman" w:cs="Times New Roman"/>
        </w:rPr>
        <w:t xml:space="preserve">, and </w:t>
      </w:r>
      <w:r w:rsidR="4AA20B07" w:rsidRPr="008C17AC">
        <w:rPr>
          <w:rFonts w:ascii="Times New Roman" w:eastAsia="Times New Roman" w:hAnsi="Times New Roman" w:cs="Times New Roman"/>
        </w:rPr>
        <w:t xml:space="preserve">broader </w:t>
      </w:r>
      <w:r w:rsidR="361A3D98" w:rsidRPr="008C17AC">
        <w:rPr>
          <w:rFonts w:ascii="Times New Roman" w:eastAsia="Times New Roman" w:hAnsi="Times New Roman" w:cs="Times New Roman"/>
        </w:rPr>
        <w:t>social sciences</w:t>
      </w:r>
      <w:r w:rsidR="389A265C" w:rsidRPr="008C17AC">
        <w:rPr>
          <w:rFonts w:ascii="Times New Roman" w:eastAsia="Times New Roman" w:hAnsi="Times New Roman" w:cs="Times New Roman"/>
        </w:rPr>
        <w:t xml:space="preserve"> </w:t>
      </w:r>
      <w:r w:rsidR="004930B2" w:rsidRPr="008C17AC">
        <w:rPr>
          <w:rFonts w:ascii="Times New Roman" w:eastAsia="Times New Roman" w:hAnsi="Times New Roman" w:cs="Times New Roman"/>
          <w:sz w:val="24"/>
          <w:szCs w:val="24"/>
        </w:rPr>
        <w:fldChar w:fldCharType="begin"/>
      </w:r>
      <w:r w:rsidR="004930B2" w:rsidRPr="008C17AC">
        <w:rPr>
          <w:rFonts w:ascii="Times New Roman" w:eastAsia="Times New Roman" w:hAnsi="Times New Roman" w:cs="Times New Roman"/>
          <w:sz w:val="24"/>
          <w:szCs w:val="24"/>
        </w:rPr>
        <w:instrText xml:space="preserve"> ADDIN ZOTERO_ITEM CSL_CITATION {"citationID":"PqKBHJxB","properties":{"formattedCitation":"[17]","plainCitation":"[17]","noteIndex":0},"citationItems":[{"id":28475,"uris":["http://zotero.org/groups/4983756/items/NNDP6XG6"],"itemData":{"id":28475,"type":"article-journal","abstract":"Being able to replicate scientific findings is crucial for scientific progress(1-15). We replicate 21 systematically selected experimental studies in the social sciences published in Nature and Science between 2010 and 2015(16-36). The replications follow analysis plans reviewed by the original authors and pre-registered prior to the replications. The replications are high powered, with sample sizes on average about five times higher than in the original studies. We find a significant effect in the same direction as the original study for 13 (62%) studies, and the effect size of the replications is on average about 50% of the original effect size. Replicability varies between 12 (57%) and 14 (67%) studies for complementary replicability indicators. Consistent with these results, the estimated true-positive rate is 67% in a Bayesian analysis. The relative effect size of true positives is estimated to be 71%, suggesting that both false positives and inflated effect sizes of true positives contribute to imperfect reproducibility. Furthermore, we find that peer beliefs of replicability are strongly related to replicability, suggesting that the research community could predict which results would replicate and that failures to replicate were not the result of chance alone.","archive":"Medline","archive_location":"31346273","container-title":"Nat Hum Behav","DOI":"10.1038/s41562-018-0399-z","ISSN":"2397-3374 (Electronic) 2397-3374 (Linking)","issue":"9","note":"edition: 20180827","page":"637-644","source":"NLM","title":"Evaluating the replicability of social science experiments in Nature and Science between 2010 and 2015","volume":"2","author":[{"family":"Camerer","given":"C. F."},{"family":"Dreber","given":"A."},{"family":"Holzmeister","given":"F."},{"family":"Ho","given":"T. H."},{"family":"Huber","given":"J."},{"family":"Johannesson","given":"M."},{"family":"Kirchler","given":"M."},{"family":"Nave","given":"G."},{"family":"Nosek","given":"B. A."},{"family":"Pfeiffer","given":"T."},{"family":"Altmejd","given":"A."},{"family":"Buttrick","given":"N."},{"family":"Chan","given":"T."},{"family":"Chen","given":"Y."},{"family":"Forsell","given":"E."},{"family":"Gampa","given":"A."},{"family":"Heikensten","given":"E."},{"family":"Hummer","given":"L."},{"family":"Imai","given":"T."},{"family":"Isaksson","given":"S."},{"family":"Manfredi","given":"D."},{"family":"Rose","given":"J."},{"family":"Wagenmakers","given":"E. J."},{"family":"Wu","given":"H."}],"issued":{"date-parts":[["2018",9]]}}}],"schema":"https://github.com/citation-style-language/schema/raw/master/csl-citation.json"} </w:instrText>
      </w:r>
      <w:r w:rsidR="004930B2" w:rsidRPr="008C17AC">
        <w:rPr>
          <w:rFonts w:ascii="Times New Roman" w:eastAsia="Times New Roman" w:hAnsi="Times New Roman" w:cs="Times New Roman"/>
          <w:sz w:val="24"/>
          <w:szCs w:val="24"/>
        </w:rPr>
        <w:fldChar w:fldCharType="separate"/>
      </w:r>
      <w:r w:rsidR="28B9B22B" w:rsidRPr="008C17AC">
        <w:rPr>
          <w:rFonts w:ascii="Times New Roman" w:hAnsi="Times New Roman" w:cs="Times New Roman"/>
        </w:rPr>
        <w:t>[17]</w:t>
      </w:r>
      <w:r w:rsidR="004930B2" w:rsidRPr="008C17AC">
        <w:rPr>
          <w:rFonts w:ascii="Times New Roman" w:eastAsia="Times New Roman" w:hAnsi="Times New Roman" w:cs="Times New Roman"/>
          <w:sz w:val="24"/>
          <w:szCs w:val="24"/>
        </w:rPr>
        <w:fldChar w:fldCharType="end"/>
      </w:r>
      <w:r w:rsidR="479742AA" w:rsidRPr="008C17AC">
        <w:rPr>
          <w:rFonts w:ascii="Times New Roman" w:eastAsia="Times New Roman" w:hAnsi="Times New Roman" w:cs="Times New Roman"/>
        </w:rPr>
        <w:t xml:space="preserve"> all </w:t>
      </w:r>
      <w:r w:rsidR="7D6CC400" w:rsidRPr="008C17AC">
        <w:rPr>
          <w:rFonts w:ascii="Times New Roman" w:eastAsia="Times New Roman" w:hAnsi="Times New Roman" w:cs="Times New Roman"/>
        </w:rPr>
        <w:t>witnessed</w:t>
      </w:r>
      <w:r w:rsidR="15FC9D09" w:rsidRPr="008C17AC">
        <w:rPr>
          <w:rFonts w:ascii="Times New Roman" w:eastAsia="Times New Roman" w:hAnsi="Times New Roman" w:cs="Times New Roman"/>
        </w:rPr>
        <w:t xml:space="preserve"> </w:t>
      </w:r>
      <w:r w:rsidR="03DB9D5B" w:rsidRPr="008C17AC">
        <w:rPr>
          <w:rFonts w:ascii="Times New Roman" w:eastAsia="Times New Roman" w:hAnsi="Times New Roman" w:cs="Times New Roman"/>
        </w:rPr>
        <w:t>“many-lab" studies</w:t>
      </w:r>
      <w:r w:rsidR="1878C4A7" w:rsidRPr="008C17AC">
        <w:rPr>
          <w:rFonts w:ascii="Times New Roman" w:eastAsia="Times New Roman" w:hAnsi="Times New Roman" w:cs="Times New Roman"/>
        </w:rPr>
        <w:t xml:space="preserve"> </w:t>
      </w:r>
      <w:r w:rsidR="03DB9D5B" w:rsidRPr="008C17AC">
        <w:rPr>
          <w:rFonts w:ascii="Times New Roman" w:eastAsia="Times New Roman" w:hAnsi="Times New Roman" w:cs="Times New Roman"/>
        </w:rPr>
        <w:t>whose findings indicated levels</w:t>
      </w:r>
      <w:r w:rsidR="7D6CC400" w:rsidRPr="008C17AC">
        <w:rPr>
          <w:rFonts w:ascii="Times New Roman" w:eastAsia="Times New Roman" w:hAnsi="Times New Roman" w:cs="Times New Roman"/>
        </w:rPr>
        <w:t xml:space="preserve"> </w:t>
      </w:r>
      <w:r w:rsidR="554F2A9B" w:rsidRPr="008C17AC">
        <w:rPr>
          <w:rFonts w:ascii="Times New Roman" w:eastAsia="Times New Roman" w:hAnsi="Times New Roman" w:cs="Times New Roman"/>
        </w:rPr>
        <w:t xml:space="preserve">of </w:t>
      </w:r>
      <w:r w:rsidR="40017B7F" w:rsidRPr="008C17AC">
        <w:rPr>
          <w:rFonts w:ascii="Times New Roman" w:eastAsia="Times New Roman" w:hAnsi="Times New Roman" w:cs="Times New Roman"/>
        </w:rPr>
        <w:t>reproducibility</w:t>
      </w:r>
      <w:r w:rsidR="554F2A9B" w:rsidRPr="008C17AC">
        <w:rPr>
          <w:rFonts w:ascii="Times New Roman" w:eastAsia="Times New Roman" w:hAnsi="Times New Roman" w:cs="Times New Roman"/>
        </w:rPr>
        <w:t xml:space="preserve"> </w:t>
      </w:r>
      <w:r w:rsidR="6ECBC6D8" w:rsidRPr="008C17AC">
        <w:rPr>
          <w:rFonts w:ascii="Times New Roman" w:eastAsia="Times New Roman" w:hAnsi="Times New Roman" w:cs="Times New Roman"/>
        </w:rPr>
        <w:t>rang</w:t>
      </w:r>
      <w:r w:rsidR="476F26E5" w:rsidRPr="008C17AC">
        <w:rPr>
          <w:rFonts w:ascii="Times New Roman" w:eastAsia="Times New Roman" w:hAnsi="Times New Roman" w:cs="Times New Roman"/>
        </w:rPr>
        <w:t>ing</w:t>
      </w:r>
      <w:r w:rsidR="15FC9D09" w:rsidRPr="008C17AC">
        <w:rPr>
          <w:rFonts w:ascii="Times New Roman" w:eastAsia="Times New Roman" w:hAnsi="Times New Roman" w:cs="Times New Roman"/>
        </w:rPr>
        <w:t xml:space="preserve"> b</w:t>
      </w:r>
      <w:r w:rsidR="7D6CC400" w:rsidRPr="008C17AC">
        <w:rPr>
          <w:rFonts w:ascii="Times New Roman" w:eastAsia="Times New Roman" w:hAnsi="Times New Roman" w:cs="Times New Roman"/>
        </w:rPr>
        <w:t>etween</w:t>
      </w:r>
      <w:r w:rsidR="5769BB86" w:rsidRPr="008C17AC">
        <w:rPr>
          <w:rFonts w:ascii="Times New Roman" w:eastAsia="Times New Roman" w:hAnsi="Times New Roman" w:cs="Times New Roman"/>
        </w:rPr>
        <w:t xml:space="preserve"> 30 and 70%</w:t>
      </w:r>
      <w:r w:rsidR="7EDC1A4A" w:rsidRPr="008C17AC">
        <w:rPr>
          <w:rFonts w:ascii="Times New Roman" w:eastAsia="Times New Roman" w:hAnsi="Times New Roman" w:cs="Times New Roman"/>
        </w:rPr>
        <w:t xml:space="preserve">. </w:t>
      </w:r>
      <w:r w:rsidR="62CFF07B" w:rsidRPr="008C17AC">
        <w:rPr>
          <w:rFonts w:ascii="Times New Roman" w:eastAsia="Times New Roman" w:hAnsi="Times New Roman" w:cs="Times New Roman"/>
        </w:rPr>
        <w:t xml:space="preserve">A piece in Nature News in 2016 reported survey findings (ironically themselves </w:t>
      </w:r>
      <w:r w:rsidR="5E29700C" w:rsidRPr="008C17AC">
        <w:rPr>
          <w:rFonts w:ascii="Times New Roman" w:eastAsia="Times New Roman" w:hAnsi="Times New Roman" w:cs="Times New Roman"/>
        </w:rPr>
        <w:t xml:space="preserve">lacking in rigour and </w:t>
      </w:r>
      <w:r w:rsidR="5808AB9A" w:rsidRPr="008C17AC">
        <w:rPr>
          <w:rFonts w:ascii="Times New Roman" w:eastAsia="Times New Roman" w:hAnsi="Times New Roman" w:cs="Times New Roman"/>
        </w:rPr>
        <w:t>trans</w:t>
      </w:r>
      <w:r w:rsidR="5E29700C" w:rsidRPr="008C17AC">
        <w:rPr>
          <w:rFonts w:ascii="Times New Roman" w:eastAsia="Times New Roman" w:hAnsi="Times New Roman" w:cs="Times New Roman"/>
        </w:rPr>
        <w:t>parency</w:t>
      </w:r>
      <w:r w:rsidR="62CFF07B" w:rsidRPr="008C17AC">
        <w:rPr>
          <w:rFonts w:ascii="Times New Roman" w:eastAsia="Times New Roman" w:hAnsi="Times New Roman" w:cs="Times New Roman"/>
        </w:rPr>
        <w:t xml:space="preserve">) </w:t>
      </w:r>
      <w:r w:rsidR="20015097" w:rsidRPr="008C17AC">
        <w:rPr>
          <w:rFonts w:ascii="Times New Roman" w:eastAsia="Times New Roman" w:hAnsi="Times New Roman" w:cs="Times New Roman"/>
        </w:rPr>
        <w:t>that</w:t>
      </w:r>
      <w:r w:rsidR="76DC7439" w:rsidRPr="008C17AC">
        <w:rPr>
          <w:rFonts w:ascii="Times New Roman" w:eastAsia="Times New Roman" w:hAnsi="Times New Roman" w:cs="Times New Roman"/>
        </w:rPr>
        <w:t xml:space="preserve"> highlighted that </w:t>
      </w:r>
      <w:r w:rsidR="471F0CA6" w:rsidRPr="008C17AC">
        <w:rPr>
          <w:rFonts w:ascii="Times New Roman" w:eastAsia="Times New Roman" w:hAnsi="Times New Roman" w:cs="Times New Roman"/>
        </w:rPr>
        <w:t>between 60</w:t>
      </w:r>
      <w:r w:rsidR="3CFE3C40" w:rsidRPr="008C17AC">
        <w:rPr>
          <w:rFonts w:ascii="Times New Roman" w:eastAsia="Times New Roman" w:hAnsi="Times New Roman" w:cs="Times New Roman"/>
        </w:rPr>
        <w:t>%</w:t>
      </w:r>
      <w:r w:rsidR="471F0CA6" w:rsidRPr="008C17AC">
        <w:rPr>
          <w:rFonts w:ascii="Times New Roman" w:eastAsia="Times New Roman" w:hAnsi="Times New Roman" w:cs="Times New Roman"/>
        </w:rPr>
        <w:t xml:space="preserve"> and 80%</w:t>
      </w:r>
      <w:r w:rsidR="76DC7439" w:rsidRPr="008C17AC">
        <w:rPr>
          <w:rFonts w:ascii="Times New Roman" w:eastAsia="Times New Roman" w:hAnsi="Times New Roman" w:cs="Times New Roman"/>
        </w:rPr>
        <w:t xml:space="preserve"> of scientists across various disciplines encountered hurdles in reproducing the work of their peers, with similarly noteworthy difficulties encountered when attempting to replicate their own experiments (40% to 60%)</w:t>
      </w:r>
      <w:r w:rsidR="25FA48EE" w:rsidRPr="008C17AC">
        <w:rPr>
          <w:rFonts w:ascii="Times New Roman" w:eastAsia="Times New Roman" w:hAnsi="Times New Roman" w:cs="Times New Roman"/>
        </w:rPr>
        <w:t xml:space="preserve"> </w:t>
      </w:r>
      <w:r w:rsidR="004930B2" w:rsidRPr="008C17AC">
        <w:rPr>
          <w:rFonts w:ascii="Times New Roman" w:eastAsia="Times New Roman" w:hAnsi="Times New Roman" w:cs="Times New Roman"/>
          <w:sz w:val="24"/>
          <w:szCs w:val="24"/>
        </w:rPr>
        <w:fldChar w:fldCharType="begin"/>
      </w:r>
      <w:r w:rsidR="004930B2" w:rsidRPr="008C17AC">
        <w:rPr>
          <w:rFonts w:ascii="Times New Roman" w:eastAsia="Times New Roman" w:hAnsi="Times New Roman" w:cs="Times New Roman"/>
          <w:sz w:val="24"/>
          <w:szCs w:val="24"/>
        </w:rPr>
        <w:instrText xml:space="preserve"> ADDIN ZOTERO_ITEM CSL_CITATION {"citationID":"R9YaiGFZ","properties":{"formattedCitation":"[1]","plainCitation":"[1]","noteIndex":0},"citationItems":[{"id":3505,"uris":["http://zotero.org/users/11060092/items/TSWD7X7W"],"itemData":{"id":3505,"type":"article-journal","abstract":"Survey sheds light on the ‘crisis’ rocking research.","container-title":"Nature","DOI":"10.1038/533452a","ISSN":"1476-4687","issue":"7604","language":"en","license":"2016 Nature Publishing Group","note":"number: 7604\npublisher: Nature Publishing Group","page":"452-454","source":"www.nature.com","title":"1,500 scientists lift the lid on reproducibility","volume":"533","author":[{"family":"Baker","given":"Monya"}],"issued":{"date-parts":[["2016",5,1]]}}}],"schema":"https://github.com/citation-style-language/schema/raw/master/csl-citation.json"} </w:instrText>
      </w:r>
      <w:r w:rsidR="004930B2" w:rsidRPr="008C17AC">
        <w:rPr>
          <w:rFonts w:ascii="Times New Roman" w:eastAsia="Times New Roman" w:hAnsi="Times New Roman" w:cs="Times New Roman"/>
          <w:sz w:val="24"/>
          <w:szCs w:val="24"/>
        </w:rPr>
        <w:fldChar w:fldCharType="separate"/>
      </w:r>
      <w:r w:rsidR="533D5B0C" w:rsidRPr="008C17AC">
        <w:rPr>
          <w:rFonts w:ascii="Times New Roman" w:eastAsia="Times New Roman" w:hAnsi="Times New Roman" w:cs="Times New Roman"/>
        </w:rPr>
        <w:t>[1]</w:t>
      </w:r>
      <w:r w:rsidR="004930B2" w:rsidRPr="008C17AC">
        <w:rPr>
          <w:rFonts w:ascii="Times New Roman" w:eastAsia="Times New Roman" w:hAnsi="Times New Roman" w:cs="Times New Roman"/>
          <w:sz w:val="24"/>
          <w:szCs w:val="24"/>
        </w:rPr>
        <w:fldChar w:fldCharType="end"/>
      </w:r>
      <w:r w:rsidR="76DC7439" w:rsidRPr="008C17AC">
        <w:rPr>
          <w:rFonts w:ascii="Times New Roman" w:eastAsia="Times New Roman" w:hAnsi="Times New Roman" w:cs="Times New Roman"/>
        </w:rPr>
        <w:t>.</w:t>
      </w:r>
      <w:r w:rsidR="07A578A3" w:rsidRPr="008C17AC">
        <w:rPr>
          <w:rFonts w:ascii="Times New Roman" w:eastAsia="Times New Roman" w:hAnsi="Times New Roman" w:cs="Times New Roman"/>
        </w:rPr>
        <w:t xml:space="preserve"> Other scholars have argued that the meanings and relevance of “reproducibility” vary widely across research fields and argue the unsuitability of these concepts – at least as strictly as it is understood in more experimental domains – as a criterion of quality for within humanities </w:t>
      </w:r>
      <w:r w:rsidR="004930B2" w:rsidRPr="008C17AC">
        <w:rPr>
          <w:rFonts w:ascii="Times New Roman" w:eastAsia="Times New Roman" w:hAnsi="Times New Roman" w:cs="Times New Roman"/>
          <w:sz w:val="24"/>
          <w:szCs w:val="24"/>
        </w:rPr>
        <w:fldChar w:fldCharType="begin"/>
      </w:r>
      <w:r w:rsidR="004930B2" w:rsidRPr="008C17AC">
        <w:rPr>
          <w:rFonts w:ascii="Times New Roman" w:eastAsia="Times New Roman" w:hAnsi="Times New Roman" w:cs="Times New Roman"/>
          <w:sz w:val="24"/>
          <w:szCs w:val="24"/>
        </w:rPr>
        <w:instrText xml:space="preserve"> ADDIN ZOTERO_ITEM CSL_CITATION {"citationID":"rz3arrsB","properties":{"formattedCitation":"[29\\uc0\\u8211{}31]","plainCitation":"[29–31]","noteIndex":0},"citationItems":[{"id":31224,"uris":["http://zotero.org/groups/4983756/items/95UTYK27"],"itemData":{"id":31224,"type":"article-journal","abstract":"A large number of scientists and several news platforms have, over the last few years, been speaking of a replication crisis in various academic disciplines, especially the biomedical and social sciences. This paper answers the novel question of whether we should also pursue replication in the humanities. First, I create more conceptual clarity by defining, in addition to the term “humanities,” various key terms in the debate on replication, such as “reproduction” and “replicability.” In doing so, I pay attention to what is supposed to be the object of replication: certain studies, particular inferences, of specific results. After that, I spell out three reasons for thinking that replication in the humanities is not possible and argue that they are unconvincing. Subsequently, I give a more detailed case for thinking that replication in the humanities is possible. Finally, I explain why such replication in the humanities is not only possible, but also desirable.","container-title":"Research Integrity and Peer Review","DOI":"10.1186/s41073-018-0060-4","ISSN":"2058-8615","issue":"1","journalAbbreviation":"Research Integrity and Peer Review","page":"2","source":"BioMed Central","title":"Replicability and replication in the humanities","volume":"4","author":[{"family":"Peels","given":"Rik"}],"issued":{"date-parts":[["2019",1,9]]}}},{"id":31222,"uris":["http://zotero.org/groups/4983756/items/F94GYD5B"],"itemData":{"id":31222,"type":"article-journal","abstract":"Discover the world’s best science and medicine  | Nature.com","container-title":"Nature","DOI":"10.1038/d41586-018-05454-w","issue":"7710","language":"en","license":"2021 Nature","note":"Bandiera_abtest: a\nCg_type: Correspondence\npublisher: Nature Publishing Group\nSubject_term: Research management, Culture","page":"372-372","source":"www.nature.com","title":"Humanities need a replication drive too","volume":"558","author":[{"family":"Peels","given":"Rik"},{"family":"Bouter","given":"Lex"}],"issued":{"date-parts":[["2018",6,20]]}}},{"id":31226,"uris":["http://zotero.org/groups/4983756/items/VTYYGHVG"],"itemData":{"id":31226,"type":"article-journal","abstract":"In this article, we argue that the debate on the poor reproducibility of scientific research has overlooked an entire field: replication is also possible and desirable in the humanities. So far, the debate on replicability has been carried out primarily in the biomedical, natural and social sciences. It turns out that, for a wide variety of reasons, many of which lead to selective reporting, a large proportion of studies in these fields are not replicable, sometimes as many as 70 percent. In this paper, we leave these fields mostly aside, since they have been extensively addressed in the recent literature, and turn to the humanities. First, we distinguish between replicability and replication. Subsequently, we defend the view that replication is entirely possible in the humanities: it meets all the criteria that have been identified for biomedical, natural and social science research. The uniqueness of many research objects in the humanities does not present an obstacle to this. We also explain why replication is desirable and urgently needed in the humanities. Finally, we give various practical guidelines for how replication in the humanities could be carried out, such as focusing on the replication of cornerstone studies or a random selection of published research in a sub-discipline, and opting, if possible, for a conceptual replication, so that triangulation becomes possible.","container-title":"Palgrave Communications","DOI":"10.1057/s41599-018-0149-x","ISSN":"2055-1045","issue":"1","journalAbbreviation":"Palgrave Commun","language":"en","license":"2018 The Author(s)","note":"publisher: Palgrave","page":"1-4","source":"www.nature.com","title":"The possibility and desirability of replication in the humanities","volume":"4","author":[{"family":"Peels","given":"Rik"},{"family":"Bouter","given":"Lex"}],"issued":{"date-parts":[["2018",8,7]]}}}],"schema":"https://github.com/citation-style-language/schema/raw/master/csl-citation.json"} </w:instrText>
      </w:r>
      <w:r w:rsidR="004930B2" w:rsidRPr="008C17AC">
        <w:rPr>
          <w:rFonts w:ascii="Times New Roman" w:eastAsia="Times New Roman" w:hAnsi="Times New Roman" w:cs="Times New Roman"/>
          <w:sz w:val="24"/>
          <w:szCs w:val="24"/>
        </w:rPr>
        <w:fldChar w:fldCharType="separate"/>
      </w:r>
      <w:r w:rsidR="07A578A3" w:rsidRPr="008C17AC">
        <w:rPr>
          <w:rFonts w:ascii="Times New Roman" w:hAnsi="Times New Roman" w:cs="Times New Roman"/>
        </w:rPr>
        <w:t>[29–31]</w:t>
      </w:r>
      <w:r w:rsidR="004930B2" w:rsidRPr="008C17AC">
        <w:rPr>
          <w:rFonts w:ascii="Times New Roman" w:eastAsia="Times New Roman" w:hAnsi="Times New Roman" w:cs="Times New Roman"/>
          <w:sz w:val="24"/>
          <w:szCs w:val="24"/>
        </w:rPr>
        <w:fldChar w:fldCharType="end"/>
      </w:r>
      <w:r w:rsidR="07A578A3" w:rsidRPr="008C17AC">
        <w:rPr>
          <w:rFonts w:ascii="Times New Roman" w:eastAsia="Times New Roman" w:hAnsi="Times New Roman" w:cs="Times New Roman"/>
        </w:rPr>
        <w:t xml:space="preserve"> or qualitative research </w:t>
      </w:r>
      <w:r w:rsidR="004930B2" w:rsidRPr="008C17AC">
        <w:rPr>
          <w:rFonts w:ascii="Times New Roman" w:eastAsia="Times New Roman" w:hAnsi="Times New Roman" w:cs="Times New Roman"/>
          <w:sz w:val="24"/>
          <w:szCs w:val="24"/>
        </w:rPr>
        <w:fldChar w:fldCharType="begin"/>
      </w:r>
      <w:r w:rsidR="004930B2" w:rsidRPr="008C17AC">
        <w:rPr>
          <w:rFonts w:ascii="Times New Roman" w:eastAsia="Times New Roman" w:hAnsi="Times New Roman" w:cs="Times New Roman"/>
          <w:sz w:val="24"/>
          <w:szCs w:val="24"/>
        </w:rPr>
        <w:instrText xml:space="preserve"> ADDIN ZOTERO_ITEM CSL_CITATION {"citationID":"2cRw0Zjv","properties":{"formattedCitation":"[32]","plainCitation":"[32]","noteIndex":0},"citationItems":[{"id":31231,"uris":["http://zotero.org/groups/4983756/items/4E55LGK8"],"itemData":{"id":31231,"type":"article-journal","abstract":"Published in Educational Research and Evaluation: An International Journal on Theory and Practice (Vol. 27, No. 1-2, 2022)","archive_location":"world","container-title":"Educational Research and Evaluation","ISSN":"1380-3611","language":"EN","license":"© 2022 Informa UK Limited, trading as Taylor &amp; Francis Group","note":"publisher: Routledge","source":"www.tandfonline.com","title":"Replication is relevant to qualitative research","URL":"https://www.tandfonline.com/doi/abs/10.1080/13803611.2021.2022310","author":[{"family":"Makel","given":"Matthew C."},{"family":"Meyer","given":"Melanie S."},{"family":"Simonsen","given":"Mary A."},{"family":"Roberts","given":"Anne M."},{"family":"Plucker","given":"Jonathan A."}],"accessed":{"date-parts":[["2024",5,7]]},"issued":{"date-parts":[["2022",2,17]]}}}],"schema":"https://github.com/citation-style-language/schema/raw/master/csl-citation.json"} </w:instrText>
      </w:r>
      <w:r w:rsidR="004930B2" w:rsidRPr="008C17AC">
        <w:rPr>
          <w:rFonts w:ascii="Times New Roman" w:eastAsia="Times New Roman" w:hAnsi="Times New Roman" w:cs="Times New Roman"/>
          <w:sz w:val="24"/>
          <w:szCs w:val="24"/>
        </w:rPr>
        <w:fldChar w:fldCharType="separate"/>
      </w:r>
      <w:r w:rsidR="07A578A3" w:rsidRPr="008C17AC">
        <w:rPr>
          <w:rFonts w:ascii="Times New Roman" w:hAnsi="Times New Roman" w:cs="Times New Roman"/>
        </w:rPr>
        <w:t>[32]</w:t>
      </w:r>
      <w:r w:rsidR="004930B2" w:rsidRPr="008C17AC">
        <w:rPr>
          <w:rFonts w:ascii="Times New Roman" w:eastAsia="Times New Roman" w:hAnsi="Times New Roman" w:cs="Times New Roman"/>
          <w:sz w:val="24"/>
          <w:szCs w:val="24"/>
        </w:rPr>
        <w:fldChar w:fldCharType="end"/>
      </w:r>
      <w:r w:rsidR="004930B2" w:rsidRPr="008C17AC">
        <w:rPr>
          <w:rFonts w:ascii="Times New Roman" w:eastAsia="Times New Roman" w:hAnsi="Times New Roman" w:cs="Times New Roman"/>
          <w:sz w:val="24"/>
          <w:szCs w:val="24"/>
        </w:rPr>
        <w:fldChar w:fldCharType="begin"/>
      </w:r>
      <w:r w:rsidR="004930B2" w:rsidRPr="008C17AC">
        <w:rPr>
          <w:rFonts w:ascii="Times New Roman" w:eastAsia="Times New Roman" w:hAnsi="Times New Roman" w:cs="Times New Roman"/>
          <w:sz w:val="24"/>
          <w:szCs w:val="24"/>
        </w:rPr>
        <w:instrText xml:space="preserve"> ADDIN ZOTERO_ITEM CSL_CITATION {"citationID":"GNg6GOrd","properties":{"formattedCitation":"[33\\uc0\\u8211{}35]","plainCitation":"[33–35]","noteIndex":0},"citationItems":[{"id":31229,"uris":["http://zotero.org/groups/4983756/items/T33N6ISR"],"itemData":{"id":31229,"type":"article-journal","abstract":"Discover the world’s best science and medicine  | Nature.com","container-title":"Nature","DOI":"10.1038/d41586-018-05845-z","issue":"7716","language":"en","license":"2021 Nature","note":"Bandiera_abtest: a\nCg_type: Correspondence\npublisher: Nature Publishing Group\nSubject_term: Arts, Culture","page":"29-29","source":"www.nature.com","title":"Resist calls for replicability in the humanities","volume":"560","author":[{"family":"Rijcke","given":"Sarah","non-dropping-particle":"de"},{"family":"Penders","given":"Bart"}],"issued":{"date-parts":[["2018",8,1]]}}},{"id":31227,"uris":["http://zotero.org/groups/4983756/items/FSTWBE5B"],"itemData":{"id":31227,"type":"article-journal","abstract":"Replication, broadly defined as the repetition of a research study, generally among different subjects and/or situations, is commonly conducted in quantitative research with the aim of determining whether the basic findings of the original study can be generalized to other circumstances. Qualitative researchers have for many years objected to the notion of replicability, seeing it as being incompatible with qualitative research, on several grounds, including the context-bound nature of qualitative research as well as methodological and representational limitations. Instead, the concept of transferability has been suggested, a concept that refers to the degree to which the results of qualitative research can be transferred to other contexts or settings, conducted among other respondents. However, the value of replication in qualitative research, the similarities and differences between replication and transferability, and the relation between transferability and generalization have, to date, scarcely been discussed. In this paper, I make a claim in favor of a type of replication that is compatible with qualitative research and consider four critical aspects: the type of replication, the researcher’s epistemological stance and approach, the aim of the replication, and the nature of the study. Finally, I present two strategies that are critical when planning a qualitative replication study: consideration of context(s) and the need for transparency. (PsycInfo Database Record (c) 2022 APA, all rights reserved)","container-title":"Qualitative Psychology","DOI":"10.1037/qup0000217","ISSN":"2326-3598","issue":"3","note":"publisher-place: US\npublisher: Educational Publishing Foundation","page":"365-377","source":"APA PsycNet","title":"Is replication relevant for qualitative research?","volume":"8","author":[{"family":"Tuval-Mashiach","given":"Rivka"}],"issued":{"date-parts":[["2021"]]}}},{"id":31230,"uris":["http://zotero.org/groups/4983756/items/3YEN9WCB"],"itemData":{"id":31230,"type":"article-journal","abstract":"There has been much debate in recent years about how open research practices, which have been promoted in efforts to improve research robustness, may (not) be appropriate for qualitative methodologies, particularly in educational research. Among these is a concern for replication efforts. Makel et al. (2022) make the case that “replication is relevant to qualitative research”. The authors argue that concerns surrounding the transferability, intentionality, and transparency of qualitative research may be eased, or responded to, by replication studies. Here, I argue that there are three fundamental questions that need unpacking before declarative claims can be made about the relevance of replication to qualitative research. This includes critical questioning of what we mean by: replication, qualitative research, and rigour. I address each of these issues and encourage a more nuanced appraisal of how replication may, or may not, be epistemologically, ontologically, or methodologically compatible with the goals of qualitative research.","container-title":"Educational Research and Evaluation","DOI":"10.1080/13803611.2024.2314526","ISSN":"1380-3611","issue":"1-2","note":"publisher: Routledge\n_eprint: https://doi.org/10.1080/13803611.2024.2314526","page":"104–110","source":"Taylor and Francis+NEJM","title":"Is replication possible in qualitative research? A response to Makel et al. (2022)","title-short":"Is replication possible in qualitative research?","volume":"29","author":[{"family":"Pownall","given":"Madeleine"}],"issued":{"date-parts":[["2024",2,17]]}}}],"schema":"https://github.com/citation-style-language/schema/raw/master/csl-citation.json"} </w:instrText>
      </w:r>
      <w:r w:rsidR="004930B2" w:rsidRPr="008C17AC">
        <w:rPr>
          <w:rFonts w:ascii="Times New Roman" w:eastAsia="Times New Roman" w:hAnsi="Times New Roman" w:cs="Times New Roman"/>
          <w:sz w:val="24"/>
          <w:szCs w:val="24"/>
        </w:rPr>
        <w:fldChar w:fldCharType="separate"/>
      </w:r>
      <w:r w:rsidR="07A578A3" w:rsidRPr="008C17AC">
        <w:rPr>
          <w:rFonts w:ascii="Times New Roman" w:hAnsi="Times New Roman" w:cs="Times New Roman"/>
        </w:rPr>
        <w:t>[33–35]</w:t>
      </w:r>
      <w:r w:rsidR="004930B2" w:rsidRPr="008C17AC">
        <w:rPr>
          <w:rFonts w:ascii="Times New Roman" w:eastAsia="Times New Roman" w:hAnsi="Times New Roman" w:cs="Times New Roman"/>
          <w:sz w:val="24"/>
          <w:szCs w:val="24"/>
        </w:rPr>
        <w:fldChar w:fldCharType="end"/>
      </w:r>
      <w:r w:rsidR="07A578A3" w:rsidRPr="008C17AC">
        <w:rPr>
          <w:rFonts w:ascii="Times New Roman" w:eastAsia="Times New Roman" w:hAnsi="Times New Roman" w:cs="Times New Roman"/>
        </w:rPr>
        <w:t>.</w:t>
      </w:r>
    </w:p>
    <w:p w14:paraId="33610D40" w14:textId="65ACA448" w:rsidR="1E959256" w:rsidRPr="008C17AC" w:rsidRDefault="07A578A3" w:rsidP="002B1296">
      <w:pPr>
        <w:spacing w:line="360" w:lineRule="auto"/>
        <w:ind w:left="-20" w:right="-20" w:firstLine="587"/>
        <w:rPr>
          <w:rFonts w:ascii="Times New Roman" w:eastAsia="Times New Roman" w:hAnsi="Times New Roman" w:cs="Times New Roman"/>
        </w:rPr>
      </w:pPr>
      <w:r w:rsidRPr="008C17AC">
        <w:rPr>
          <w:rFonts w:ascii="Times New Roman" w:eastAsia="Times New Roman" w:hAnsi="Times New Roman" w:cs="Times New Roman"/>
        </w:rPr>
        <w:t xml:space="preserve">Given these interdisciplinary differences, the applicability of reproducibility-related interventions (what works, in which circumstances) must be expected to vary. </w:t>
      </w:r>
      <w:r w:rsidR="094E7E14" w:rsidRPr="008C17AC">
        <w:rPr>
          <w:rFonts w:ascii="Times New Roman" w:eastAsia="Times New Roman" w:hAnsi="Times New Roman" w:cs="Times New Roman"/>
        </w:rPr>
        <w:t xml:space="preserve">Ongoing discussions highlight various strategies and practices that have the potential to address the rigour and reliability of large areas of scholarly work through improving the quality of methods, reporting and verification of research </w:t>
      </w:r>
      <w:r w:rsidR="005F0CCD" w:rsidRPr="008C17AC">
        <w:rPr>
          <w:rFonts w:ascii="Times New Roman" w:eastAsia="Times New Roman" w:hAnsi="Times New Roman" w:cs="Times New Roman"/>
          <w:sz w:val="24"/>
          <w:szCs w:val="24"/>
        </w:rPr>
        <w:fldChar w:fldCharType="begin"/>
      </w:r>
      <w:r w:rsidR="005F0CCD" w:rsidRPr="008C17AC">
        <w:rPr>
          <w:rFonts w:ascii="Times New Roman" w:eastAsia="Times New Roman" w:hAnsi="Times New Roman" w:cs="Times New Roman"/>
          <w:sz w:val="24"/>
          <w:szCs w:val="24"/>
        </w:rPr>
        <w:instrText xml:space="preserve"> ADDIN ZOTERO_ITEM CSL_CITATION {"citationID":"mohuVjLI","properties":{"formattedCitation":"[19]","plainCitation":"[19]","noteIndex":0},"citationItems":[{"id":28497,"uris":["http://zotero.org/groups/4983756/items/ZBXUT3BE"],"itemData":{"id":28497,"type":"article-journal","abstract":"Improving the reliability and efficiency of scientific research will increase the credibility of the published scientific literature and accelerate discovery. Here we argue for the adoption of measures to optimize key elements of the scientific process: methods, reporting and dissemination, reproducibility, evaluation and incentives. There is some evidence from both simulations and empirical studies supporting the likely effectiveness of these measures, but their broad adoption by researchers, institutions, funders and journals will require iterative evaluation and improvement. We discuss the goals of these measures, and how they can be implemented, in the hope that this will facilitate action toward improving the transparency, reproducibility and efficiency of scientific research.","archive":"PubMed-not-MEDLINE","archive_location":"33954258","container-title":"Nat Hum Behav","DOI":"10.1038/s41562-016-0021","ISSN":"2397-3374 (Electronic) 2397-3374 (Linking)","page":"0021","source":"NLM","title":"A manifesto for reproducible science","volume":"1","author":[{"family":"Munafo","given":"M. R."},{"family":"Nosek","given":"B. A."},{"family":"Bishop","given":"D. V. M."},{"family":"Button","given":"K. S."},{"family":"Chambers","given":"C. D."},{"family":"Sert","given":"N. P.","non-dropping-particle":"du"},{"family":"Simonsohn","given":"U."},{"family":"Wagenmakers","given":"E. J."},{"family":"Ware","given":"J. J."},{"family":"Ioannidis","given":"J. P. A."}],"issued":{"date-parts":[["2017",1,10]]}}}],"schema":"https://github.com/citation-style-language/schema/raw/master/csl-citation.json"} </w:instrText>
      </w:r>
      <w:r w:rsidR="005F0CCD" w:rsidRPr="008C17AC">
        <w:rPr>
          <w:rFonts w:ascii="Times New Roman" w:eastAsia="Times New Roman" w:hAnsi="Times New Roman" w:cs="Times New Roman"/>
          <w:sz w:val="24"/>
          <w:szCs w:val="24"/>
        </w:rPr>
        <w:fldChar w:fldCharType="separate"/>
      </w:r>
      <w:r w:rsidR="094E7E14" w:rsidRPr="008C17AC">
        <w:rPr>
          <w:rFonts w:ascii="Times New Roman" w:hAnsi="Times New Roman" w:cs="Times New Roman"/>
        </w:rPr>
        <w:t>[19]</w:t>
      </w:r>
      <w:r w:rsidR="005F0CCD" w:rsidRPr="008C17AC">
        <w:rPr>
          <w:rFonts w:ascii="Times New Roman" w:eastAsia="Times New Roman" w:hAnsi="Times New Roman" w:cs="Times New Roman"/>
          <w:sz w:val="24"/>
          <w:szCs w:val="24"/>
        </w:rPr>
        <w:fldChar w:fldCharType="end"/>
      </w:r>
      <w:r w:rsidR="094E7E14" w:rsidRPr="008C17AC">
        <w:rPr>
          <w:rFonts w:ascii="Times New Roman" w:eastAsia="Times New Roman" w:hAnsi="Times New Roman" w:cs="Times New Roman"/>
        </w:rPr>
        <w:t xml:space="preserve">. </w:t>
      </w:r>
      <w:r w:rsidR="440A8896" w:rsidRPr="008C17AC">
        <w:rPr>
          <w:rFonts w:ascii="Times New Roman" w:eastAsia="Times New Roman" w:hAnsi="Times New Roman" w:cs="Times New Roman"/>
        </w:rPr>
        <w:t>F</w:t>
      </w:r>
      <w:r w:rsidR="1FA4E059" w:rsidRPr="008C17AC">
        <w:rPr>
          <w:rFonts w:ascii="Times New Roman" w:eastAsia="Times New Roman" w:hAnsi="Times New Roman" w:cs="Times New Roman"/>
        </w:rPr>
        <w:t>actors</w:t>
      </w:r>
      <w:r w:rsidR="440A8896" w:rsidRPr="008C17AC">
        <w:rPr>
          <w:rFonts w:ascii="Times New Roman" w:eastAsia="Times New Roman" w:hAnsi="Times New Roman" w:cs="Times New Roman"/>
        </w:rPr>
        <w:t xml:space="preserve"> that</w:t>
      </w:r>
      <w:r w:rsidR="1FA4E059" w:rsidRPr="008C17AC">
        <w:rPr>
          <w:rFonts w:ascii="Times New Roman" w:eastAsia="Times New Roman" w:hAnsi="Times New Roman" w:cs="Times New Roman"/>
        </w:rPr>
        <w:t xml:space="preserve"> have been </w:t>
      </w:r>
      <w:r w:rsidR="4F841FBD" w:rsidRPr="008C17AC">
        <w:rPr>
          <w:rFonts w:ascii="Times New Roman" w:eastAsia="Times New Roman" w:hAnsi="Times New Roman" w:cs="Times New Roman"/>
        </w:rPr>
        <w:t>associated with</w:t>
      </w:r>
      <w:r w:rsidR="1FA4E059" w:rsidRPr="008C17AC">
        <w:rPr>
          <w:rFonts w:ascii="Times New Roman" w:eastAsia="Times New Roman" w:hAnsi="Times New Roman" w:cs="Times New Roman"/>
        </w:rPr>
        <w:t xml:space="preserve"> </w:t>
      </w:r>
      <w:r w:rsidR="318A4292" w:rsidRPr="008C17AC">
        <w:rPr>
          <w:rFonts w:ascii="Times New Roman" w:eastAsia="Times New Roman" w:hAnsi="Times New Roman" w:cs="Times New Roman"/>
        </w:rPr>
        <w:t xml:space="preserve">perceived poor levels of </w:t>
      </w:r>
      <w:r w:rsidR="1FA4E059" w:rsidRPr="008C17AC">
        <w:rPr>
          <w:rFonts w:ascii="Times New Roman" w:eastAsia="Times New Roman" w:hAnsi="Times New Roman" w:cs="Times New Roman"/>
        </w:rPr>
        <w:t xml:space="preserve">reproducibility, </w:t>
      </w:r>
      <w:r w:rsidR="131855D0" w:rsidRPr="008C17AC">
        <w:rPr>
          <w:rFonts w:ascii="Times New Roman" w:eastAsia="Times New Roman" w:hAnsi="Times New Roman" w:cs="Times New Roman"/>
        </w:rPr>
        <w:t>includ</w:t>
      </w:r>
      <w:r w:rsidR="440A8896" w:rsidRPr="008C17AC">
        <w:rPr>
          <w:rFonts w:ascii="Times New Roman" w:eastAsia="Times New Roman" w:hAnsi="Times New Roman" w:cs="Times New Roman"/>
        </w:rPr>
        <w:t>e</w:t>
      </w:r>
      <w:r w:rsidR="65549577" w:rsidRPr="008C17AC">
        <w:rPr>
          <w:rFonts w:ascii="Times New Roman" w:eastAsia="Times New Roman" w:hAnsi="Times New Roman" w:cs="Times New Roman"/>
        </w:rPr>
        <w:t xml:space="preserve"> </w:t>
      </w:r>
      <w:r w:rsidR="4F25507C" w:rsidRPr="008C17AC">
        <w:rPr>
          <w:rFonts w:ascii="Times New Roman" w:eastAsia="Times New Roman" w:hAnsi="Times New Roman" w:cs="Times New Roman"/>
        </w:rPr>
        <w:t>selective non-publication</w:t>
      </w:r>
      <w:r w:rsidR="1FA4E059" w:rsidRPr="008C17AC">
        <w:rPr>
          <w:rFonts w:ascii="Times New Roman" w:eastAsia="Times New Roman" w:hAnsi="Times New Roman" w:cs="Times New Roman"/>
        </w:rPr>
        <w:t>, questionable research practices, insufficient training in research methods and a lack of transparency and data accessibility</w:t>
      </w:r>
      <w:r w:rsidR="378DDAEA" w:rsidRPr="008C17AC">
        <w:rPr>
          <w:rFonts w:ascii="Times New Roman" w:eastAsia="Times New Roman" w:hAnsi="Times New Roman" w:cs="Times New Roman"/>
        </w:rPr>
        <w:t xml:space="preserve"> </w:t>
      </w:r>
      <w:r w:rsidR="005F0CCD" w:rsidRPr="008C17AC">
        <w:rPr>
          <w:rFonts w:ascii="Times New Roman" w:eastAsia="Times New Roman" w:hAnsi="Times New Roman" w:cs="Times New Roman"/>
          <w:sz w:val="24"/>
          <w:szCs w:val="24"/>
        </w:rPr>
        <w:fldChar w:fldCharType="begin"/>
      </w:r>
      <w:r w:rsidR="005F0CCD" w:rsidRPr="008C17AC">
        <w:rPr>
          <w:rFonts w:ascii="Times New Roman" w:eastAsia="Times New Roman" w:hAnsi="Times New Roman" w:cs="Times New Roman"/>
          <w:sz w:val="24"/>
          <w:szCs w:val="24"/>
        </w:rPr>
        <w:instrText xml:space="preserve"> ADDIN ZOTERO_ITEM CSL_CITATION {"citationID":"FE3jNOaC","properties":{"formattedCitation":"[5,18\\uc0\\u8211{}20]","plainCitation":"[5,18–20]","noteIndex":0},"citationItems":[{"id":31205,"uris":["http://zotero.org/groups/4983756/items/GDKSHFCX"],"itemData":{"id":31205,"type":"article-journal","abstract":"Dorothy Bishop describes how threats to reproducibility, recognized but unaddressed for decades, might finally be brought under control.","container-title":"Nature","DOI":"10.1038/d41586-019-01307-2","issue":"7753","language":"en","license":"2021 Nature","note":"Bandiera_abtest: a\nCg_type: World View\npublisher: Nature Publishing Group\nSubject_term: Research management, Publishing","page":"435-435","source":"www.nature.com","title":"Rein in the four horsemen of irreproducibility","volume":"568","author":[{"family":"Bishop","given":"Dorothy"}],"issued":{"date-parts":[["2019",4,24]]}}},{"id":31269,"uris":["http://zotero.org/groups/4983756/items/QK8ZBXDA"],"itemData":{"id":31269,"type":"article-journal","abstract":"Scientific advancement depends on a strong foundation of data credibility. However, scientific findings in biomedical research are not always reproducible. Meet the organizations that are promoting best practices and helping researchers perform the highest-quality science.","language":"en","license":"© 2024 Springer Nature Limited","note":"Bandiera_abtest: a\nCg_type: Advertisement Feature","source":"www.nature.com","title":"Six factors affecting reproducibility in life science research and how to handle them","URL":"https://www.nature.com/articles/d42473-019-00004-y","accessed":{"date-parts":[["2024",5,7]]}}},{"id":28497,"uris":["http://zotero.org/groups/4983756/items/ZBXUT3BE"],"itemData":{"id":28497,"type":"article-journal","abstract":"Improving the reliability and efficiency of scientific research will increase the credibility of the published scientific literature and accelerate discovery. Here we argue for the adoption of measures to optimize key elements of the scientific process: methods, reporting and dissemination, reproducibility, evaluation and incentives. There is some evidence from both simulations and empirical studies supporting the likely effectiveness of these measures, but their broad adoption by researchers, institutions, funders and journals will require iterative evaluation and improvement. We discuss the goals of these measures, and how they can be implemented, in the hope that this will facilitate action toward improving the transparency, reproducibility and efficiency of scientific research.","archive":"PubMed-not-MEDLINE","archive_location":"33954258","container-title":"Nat Hum Behav","DOI":"10.1038/s41562-016-0021","ISSN":"2397-3374 (Electronic) 2397-3374 (Linking)","page":"0021","source":"NLM","title":"A manifesto for reproducible science","volume":"1","author":[{"family":"Munafo","given":"M. R."},{"family":"Nosek","given":"B. A."},{"family":"Bishop","given":"D. V. M."},{"family":"Button","given":"K. S."},{"family":"Chambers","given":"C. D."},{"family":"Sert","given":"N. P.","non-dropping-particle":"du"},{"family":"Simonsohn","given":"U."},{"family":"Wagenmakers","given":"E. J."},{"family":"Ware","given":"J. J."},{"family":"Ioannidis","given":"J. P. A."}],"issued":{"date-parts":[["2017",1,10]]}}},{"id":31215,"uris":["http://zotero.org/groups/4983756/items/7NHDYLLN"],"itemData":{"id":31215,"type":"chapter","abstract":"Scientific research has evolved from an activity mainly undertaken by individuals operating in a few locations to many teams, large communities, and complex organizations involving hundreds to thousands of individuals worldwide. In the 17th century, scientists would communicate through letters and were able to understand and assimilate major developments across all the emerging major disciplines. In 2016—the most recent year for which data are available—more than 2,295,000 scientific and engineering research articles were published worldwide (National Science Foundation, 2018e). In addition, the number of scientific and engineering fields and subfields of research is large and has greatly expanded in recent years, especially in fields that intersect disciplines (e.g., biophysics); more than 230 distinct fields and subfields can now be identified. The published literature is so voluminous and specialized that some researchers look to information retrieval, machine learning, and artificial intelligence techniques to track and apprehend the important work in their own fields.","container-title":"Reproducibility and Replicability in Science","language":"en","publisher":"National Academies Press (US)","source":"www.ncbi.nlm.nih.gov","title":"Understanding Reproducibility and Replicability","URL":"https://www.ncbi.nlm.nih.gov/books/NBK547546/","author":[{"family":"National Academies of Sciences","given":"Engineering"},{"family":"Affairs","given":"Policy and Global"},{"family":"Committee on Science","given":"Engineering"},{"family":"Information","given":"Board on Research Data","dropping-particle":"and"},{"family":"Sciences","given":"Division on Engineering and Physical"},{"family":"Statistics","given":"Committee on Applied and Theoretical"},{"family":"Analytics","given":"Board on Mathematical Sciences","dropping-particle":"and"},{"family":"Studies","given":"Division on Earth and Life"},{"family":"Board","given":"Nuclear and Radiation Studies"},{"family":"Education","given":"Division of Behavioral and Social Sciences","dropping-particle":"and"},{"family":"Statistics","given":"Committee on National"},{"family":"Board on Behavioral","given":"Cognitive"},{"family":"Science","given":"Committee on Reproducibility and Replicability","dropping-particle":"in"}],"accessed":{"date-parts":[["2024",5,7]]},"issued":{"date-parts":[["2019",5,7]]}}}],"schema":"https://github.com/citation-style-language/schema/raw/master/csl-citation.json"} </w:instrText>
      </w:r>
      <w:r w:rsidR="005F0CCD" w:rsidRPr="008C17AC">
        <w:rPr>
          <w:rFonts w:ascii="Times New Roman" w:eastAsia="Times New Roman" w:hAnsi="Times New Roman" w:cs="Times New Roman"/>
          <w:sz w:val="24"/>
          <w:szCs w:val="24"/>
        </w:rPr>
        <w:fldChar w:fldCharType="separate"/>
      </w:r>
      <w:r w:rsidR="62C98CAA" w:rsidRPr="008C17AC">
        <w:rPr>
          <w:rFonts w:ascii="Times New Roman" w:hAnsi="Times New Roman" w:cs="Times New Roman"/>
        </w:rPr>
        <w:t>[5,18–20]</w:t>
      </w:r>
      <w:r w:rsidR="005F0CCD" w:rsidRPr="008C17AC">
        <w:rPr>
          <w:rFonts w:ascii="Times New Roman" w:eastAsia="Times New Roman" w:hAnsi="Times New Roman" w:cs="Times New Roman"/>
          <w:sz w:val="24"/>
          <w:szCs w:val="24"/>
        </w:rPr>
        <w:fldChar w:fldCharType="end"/>
      </w:r>
      <w:r w:rsidR="1FA4E059" w:rsidRPr="008C17AC">
        <w:rPr>
          <w:rFonts w:ascii="Times New Roman" w:eastAsia="Times New Roman" w:hAnsi="Times New Roman" w:cs="Times New Roman"/>
        </w:rPr>
        <w:t xml:space="preserve">. </w:t>
      </w:r>
      <w:r w:rsidR="587BDC78" w:rsidRPr="008C17AC">
        <w:rPr>
          <w:rFonts w:ascii="Times New Roman" w:eastAsia="Times New Roman" w:hAnsi="Times New Roman" w:cs="Times New Roman"/>
        </w:rPr>
        <w:t xml:space="preserve">Although amongst proponents of Open Science, the consensus is that openness of methods, materials and community will improve </w:t>
      </w:r>
      <w:r w:rsidR="587BDC78" w:rsidRPr="008C17AC">
        <w:rPr>
          <w:rFonts w:ascii="Times New Roman" w:eastAsia="Times New Roman" w:hAnsi="Times New Roman" w:cs="Times New Roman"/>
        </w:rPr>
        <w:lastRenderedPageBreak/>
        <w:t xml:space="preserve">reproducibility of science </w:t>
      </w:r>
      <w:r w:rsidR="005F0CCD" w:rsidRPr="008C17AC">
        <w:rPr>
          <w:rFonts w:ascii="Times New Roman" w:eastAsia="Times New Roman" w:hAnsi="Times New Roman" w:cs="Times New Roman"/>
          <w:sz w:val="24"/>
          <w:szCs w:val="24"/>
        </w:rPr>
        <w:fldChar w:fldCharType="begin"/>
      </w:r>
      <w:r w:rsidR="005F0CCD" w:rsidRPr="008C17AC">
        <w:rPr>
          <w:rFonts w:ascii="Times New Roman" w:eastAsia="Times New Roman" w:hAnsi="Times New Roman" w:cs="Times New Roman"/>
          <w:sz w:val="24"/>
          <w:szCs w:val="24"/>
        </w:rPr>
        <w:instrText xml:space="preserve"> ADDIN ZOTERO_ITEM CSL_CITATION {"citationID":"fLTOHSCF","properties":{"formattedCitation":"[24]","plainCitation":"[24]","noteIndex":0},"citationItems":[{"id":31252,"uris":["http://zotero.org/groups/4983756/items/YLH46TYB"],"itemData":{"id":31252,"type":"chapter","container-title":"Incentives and Performance","event-place":"Cham","ISBN":"978-3-319-09784-8","language":"en","note":"DOI: 10.1007/978-3-319-09785-5_17","page":"277-289","publisher":"Springer International Publishing","publisher-place":"Cham","source":"DOI.org (Crossref)","title":"Open Science: Many Good Resolutions, Very Few Incentives, Yet","title-short":"Open Science","URL":"https://link.springer.com/10.1007/978-3-319-09785-5_17","editor":[{"family":"Welpe","given":"Isabell M."},{"family":"Wollersheim","given":"Jutta"},{"family":"Ringelhan","given":"Stefanie"},{"family":"Osterloh","given":"Margit"}],"author":[{"family":"Friesike","given":"Sascha"},{"family":"Schildhauer","given":"Thomas"}],"accessed":{"date-parts":[["2024",5,7]]},"issued":{"date-parts":[["2015"]]}}}],"schema":"https://github.com/citation-style-language/schema/raw/master/csl-citation.json"} </w:instrText>
      </w:r>
      <w:r w:rsidR="005F0CCD" w:rsidRPr="008C17AC">
        <w:rPr>
          <w:rFonts w:ascii="Times New Roman" w:eastAsia="Times New Roman" w:hAnsi="Times New Roman" w:cs="Times New Roman"/>
          <w:sz w:val="24"/>
          <w:szCs w:val="24"/>
        </w:rPr>
        <w:fldChar w:fldCharType="separate"/>
      </w:r>
      <w:r w:rsidR="587BDC78" w:rsidRPr="008C17AC">
        <w:rPr>
          <w:rFonts w:ascii="Times New Roman" w:hAnsi="Times New Roman" w:cs="Times New Roman"/>
        </w:rPr>
        <w:t>[24]</w:t>
      </w:r>
      <w:r w:rsidR="005F0CCD" w:rsidRPr="008C17AC">
        <w:rPr>
          <w:rFonts w:ascii="Times New Roman" w:eastAsia="Times New Roman" w:hAnsi="Times New Roman" w:cs="Times New Roman"/>
          <w:sz w:val="24"/>
          <w:szCs w:val="24"/>
        </w:rPr>
        <w:fldChar w:fldCharType="end"/>
      </w:r>
      <w:r w:rsidR="587BDC78" w:rsidRPr="008C17AC">
        <w:rPr>
          <w:rFonts w:ascii="Times New Roman" w:eastAsia="Times New Roman" w:hAnsi="Times New Roman" w:cs="Times New Roman"/>
          <w:sz w:val="24"/>
          <w:szCs w:val="24"/>
        </w:rPr>
        <w:t xml:space="preserve">, </w:t>
      </w:r>
      <w:r w:rsidR="1FA4E059" w:rsidRPr="008C17AC">
        <w:rPr>
          <w:rFonts w:ascii="Times New Roman" w:eastAsia="Times New Roman" w:hAnsi="Times New Roman" w:cs="Times New Roman"/>
        </w:rPr>
        <w:t xml:space="preserve">inadequate access to the necessary data for rerunning experiments or analyses remains one of the major concerns in </w:t>
      </w:r>
      <w:r w:rsidR="1903BA8E" w:rsidRPr="008C17AC">
        <w:rPr>
          <w:rFonts w:ascii="Times New Roman" w:eastAsia="Times New Roman" w:hAnsi="Times New Roman" w:cs="Times New Roman"/>
        </w:rPr>
        <w:t>science</w:t>
      </w:r>
      <w:r w:rsidR="1D1E9294" w:rsidRPr="008C17AC">
        <w:rPr>
          <w:rFonts w:ascii="Times New Roman" w:eastAsia="Times New Roman" w:hAnsi="Times New Roman" w:cs="Times New Roman"/>
        </w:rPr>
        <w:t xml:space="preserve"> </w:t>
      </w:r>
      <w:r w:rsidR="005F0CCD" w:rsidRPr="008C17AC">
        <w:rPr>
          <w:rFonts w:ascii="Times New Roman" w:eastAsia="Times New Roman" w:hAnsi="Times New Roman" w:cs="Times New Roman"/>
          <w:sz w:val="24"/>
          <w:szCs w:val="24"/>
        </w:rPr>
        <w:fldChar w:fldCharType="begin"/>
      </w:r>
      <w:r w:rsidR="005F0CCD" w:rsidRPr="008C17AC">
        <w:rPr>
          <w:rFonts w:ascii="Times New Roman" w:eastAsia="Times New Roman" w:hAnsi="Times New Roman" w:cs="Times New Roman"/>
          <w:sz w:val="24"/>
          <w:szCs w:val="24"/>
        </w:rPr>
        <w:instrText xml:space="preserve"> ADDIN ZOTERO_ITEM CSL_CITATION {"citationID":"A2OaeqZ9","properties":{"formattedCitation":"[1,21,22]","plainCitation":"[1,21,22]","noteIndex":0},"citationItems":[{"id":3505,"uris":["http://zotero.org/users/11060092/items/TSWD7X7W"],"itemData":{"id":3505,"type":"article-journal","abstract":"Survey sheds light on the ‘crisis’ rocking research.","container-title":"Nature","DOI":"10.1038/533452a","ISSN":"1476-4687","issue":"7604","language":"en","license":"2016 Nature Publishing Group","note":"number: 7604\npublisher: Nature Publishing Group","page":"452-454","source":"www.nature.com","title":"1,500 scientists lift the lid on reproducibility","volume":"533","author":[{"family":"Baker","given":"Monya"}],"issued":{"date-parts":[["2016",5,1]]}}},{"id":31243,"uris":["http://zotero.org/groups/4983756/items/ZURVPISI"],"itemData":{"id":31243,"type":"article-journal","abstract":"Background\nThere is increasing interest to make primary data from published research publicly available. We aimed to assess the current status of making research data available in highly-cited journals across the scientific literature.\n\nMethods and Results\nWe reviewed the first 10 original research papers of 2009 published in the 50 original research journals with the highest impact factor. For each journal we documented the policies related to public availability and sharing of data. Of the 50 journals, 44 (88%) had a statement in their instructions to authors related to public availability and sharing of data. However, there was wide variation in journal requirements, ranging from requiring the sharing of all primary data related to the research to just including a statement in the published manuscript that data can be available on request. Of the 500 assessed papers, 149 (30%) were not subject to any data availability policy. Of the remaining 351 papers that were covered by some data availability policy, 208 papers (59%) did not fully adhere to the data availability instructions of the journals they were published in, most commonly (73%) by not publicly depositing microarray data. The other 143 papers that adhered to the data availability instructions did so by publicly depositing only the specific data type as required, making a statement of willingness to share, or actually sharing all the primary data. Overall, only 47 papers (9%) deposited full primary raw data online. None of the 149 papers not subject to data availability policies made their full primary data publicly available.\n\nConclusion\nA substantial proportion of original research papers published in high-impact journals are either not subject to any data availability policies, or do not adhere to the data availability instructions in their respective journals. This empiric evaluation highlights opportunities for improvement.","container-title":"PLoS ONE","DOI":"10.1371/journal.pone.0024357","ISSN":"1932-6203","issue":"9","journalAbbreviation":"PLoS One","note":"PMID: 21915316\nPMCID: PMC3168487","page":"e24357","source":"PubMed Central","title":"Public Availability of Published Research Data in High-Impact Journals","volume":"6","author":[{"family":"Alsheikh-Ali","given":"Alawi A."},{"family":"Qureshi","given":"Waqas"},{"family":"Al-Mallah","given":"Mouaz H."},{"family":"Ioannidis","given":"John P. A."}],"issued":{"date-parts":[["2011",9,7]]}}},{"id":28499,"uris":["http://zotero.org/groups/4983756/items/Y9I7QS3Y"],"itemData":{"id":28499,"type":"article-journal","abstract":"We present an experiment using the Enzo simulation code on NCSA’s Blue Waters system to highlight the importance of computational and numerical uncertainty in scientific computing on HPC systems. We quantify the (surprising) variability of outputs from 200 identical simulation runs. We make two recommendations to improve the assessment of reproducibility of computational results: the inclusion of computational variability measures in standard reporting practices; and modular software designs that permit localized assessments of the source of computational uncertainty.","title":"Assessing Reproducibility : An Astrophysical Example of Computational Uncertainty in the HPC Context","URL":"https://www.semanticscholar.org/paper/c2321c16a12b0a71ab99214a054a60bd2655a505","author":[{"family":"Stodden","given":"V."}],"issued":{"date-parts":[["2018"]]}}}],"schema":"https://github.com/citation-style-language/schema/raw/master/csl-citation.json"} </w:instrText>
      </w:r>
      <w:r w:rsidR="005F0CCD" w:rsidRPr="008C17AC">
        <w:rPr>
          <w:rFonts w:ascii="Times New Roman" w:eastAsia="Times New Roman" w:hAnsi="Times New Roman" w:cs="Times New Roman"/>
          <w:sz w:val="24"/>
          <w:szCs w:val="24"/>
        </w:rPr>
        <w:fldChar w:fldCharType="separate"/>
      </w:r>
      <w:r w:rsidR="62C98CAA" w:rsidRPr="008C17AC">
        <w:rPr>
          <w:rFonts w:ascii="Times New Roman" w:hAnsi="Times New Roman" w:cs="Times New Roman"/>
        </w:rPr>
        <w:t>[1,21,22]</w:t>
      </w:r>
      <w:r w:rsidR="005F0CCD" w:rsidRPr="008C17AC">
        <w:rPr>
          <w:rFonts w:ascii="Times New Roman" w:eastAsia="Times New Roman" w:hAnsi="Times New Roman" w:cs="Times New Roman"/>
          <w:sz w:val="24"/>
          <w:szCs w:val="24"/>
        </w:rPr>
        <w:fldChar w:fldCharType="end"/>
      </w:r>
      <w:r w:rsidR="75BFAA4C" w:rsidRPr="008C17AC">
        <w:rPr>
          <w:rFonts w:ascii="Times New Roman" w:eastAsia="Times New Roman" w:hAnsi="Times New Roman" w:cs="Times New Roman"/>
          <w:sz w:val="24"/>
          <w:szCs w:val="24"/>
        </w:rPr>
        <w:t xml:space="preserve"> </w:t>
      </w:r>
      <w:r w:rsidR="005F0CCD" w:rsidRPr="008C17AC">
        <w:rPr>
          <w:rFonts w:ascii="Times New Roman" w:eastAsia="Times New Roman" w:hAnsi="Times New Roman" w:cs="Times New Roman"/>
          <w:sz w:val="24"/>
          <w:szCs w:val="24"/>
        </w:rPr>
        <w:fldChar w:fldCharType="begin"/>
      </w:r>
      <w:r w:rsidR="005F0CCD" w:rsidRPr="008C17AC">
        <w:rPr>
          <w:rFonts w:ascii="Times New Roman" w:eastAsia="Times New Roman" w:hAnsi="Times New Roman" w:cs="Times New Roman"/>
          <w:sz w:val="24"/>
          <w:szCs w:val="24"/>
        </w:rPr>
        <w:instrText xml:space="preserve"> ADDIN ZOTERO_ITEM CSL_CITATION {"citationID":"VaBPYvrW","properties":{"formattedCitation":"[23]","plainCitation":"[23]","noteIndex":0},"citationItems":[{"id":31247,"uris":["http://zotero.org/groups/4983756/items/BSRLV5VM"],"itemData":{"id":31247,"type":"book","abstract":"The objective of the study “Assessing the reproducibility of research results in EU Framework Programmes for Research” is to assist the European Commission in understanding, testing and monitoring the progress of reproducibility over time and across the programmes. The study primarily focused on the state of reproducibility during the implementation of Horizon 2020. The study relied on a mixed-methods research design, combining qualitative textual analysis of 50 Horizon 2020 projects, quantitative assessment of 300 Horizon 2020 projects, as well as a large-scale survey programme of researchers, journal editors, and research funders. The data collected indicates that while reproducibility of research is an important principle to stakeholders overall, the level of implementation of reproducibility-related practices is very mixed depending on the specific reproducibility-related factor. Our findings suggest that the key barriers for reproducibility are cultural factors in the scientific field (e.g. pressure to publish, lack of recognition of reproducibility-related research practices) and the perception that reproducibility is costly in terms of time and resources. Based on these findings, this study provides a comprehensive set of recommendations for research funders to overcome the existing barriers and increase reproducibility of EU-funded research and innovation.","call-number":"KI-07-22-280-EN-N","ISBN":"978-92-76-52431-1","language":"eng","publisher":"Publications Office of the European Union","source":"Publications Office of the European Union","title":"Assessing the reproducibility of research results in EU Framework Programmes for Research: final report","title-short":"Assessing the reproducibility of research results in EU Framework Programmes for Research","URL":"https://data.europa.eu/doi/10.2777/186782","author":[{"literal":"Athena RC"},{"literal":"Directorate-General for Research and Innovation (European Commission)"},{"literal":"Know-Center"},{"literal":"PPMI"}],"accessed":{"date-parts":[["2024",5,7]]},"issued":{"date-parts":[["2022"]]}}}],"schema":"https://github.com/citation-style-language/schema/raw/master/csl-citation.json"} </w:instrText>
      </w:r>
      <w:r w:rsidR="005F0CCD" w:rsidRPr="008C17AC">
        <w:rPr>
          <w:rFonts w:ascii="Times New Roman" w:eastAsia="Times New Roman" w:hAnsi="Times New Roman" w:cs="Times New Roman"/>
          <w:sz w:val="24"/>
          <w:szCs w:val="24"/>
        </w:rPr>
        <w:fldChar w:fldCharType="separate"/>
      </w:r>
      <w:r w:rsidR="62C98CAA" w:rsidRPr="008C17AC">
        <w:rPr>
          <w:rFonts w:ascii="Times New Roman" w:hAnsi="Times New Roman" w:cs="Times New Roman"/>
        </w:rPr>
        <w:t>[23]</w:t>
      </w:r>
      <w:r w:rsidR="005F0CCD" w:rsidRPr="008C17AC">
        <w:rPr>
          <w:rFonts w:ascii="Times New Roman" w:eastAsia="Times New Roman" w:hAnsi="Times New Roman" w:cs="Times New Roman"/>
          <w:sz w:val="24"/>
          <w:szCs w:val="24"/>
        </w:rPr>
        <w:fldChar w:fldCharType="end"/>
      </w:r>
      <w:r w:rsidR="720E9508" w:rsidRPr="008C17AC">
        <w:rPr>
          <w:rFonts w:ascii="Times New Roman" w:eastAsia="Times New Roman" w:hAnsi="Times New Roman" w:cs="Times New Roman"/>
        </w:rPr>
        <w:t xml:space="preserve">. </w:t>
      </w:r>
    </w:p>
    <w:p w14:paraId="45712D4F" w14:textId="05793B20" w:rsidR="1E959256" w:rsidRPr="008C17AC" w:rsidRDefault="4BD91523" w:rsidP="23EF21E2">
      <w:pPr>
        <w:spacing w:line="360" w:lineRule="auto"/>
        <w:ind w:left="-20" w:right="-20" w:firstLine="587"/>
        <w:rPr>
          <w:rFonts w:ascii="Times New Roman" w:eastAsia="Times New Roman" w:hAnsi="Times New Roman" w:cs="Times New Roman"/>
        </w:rPr>
      </w:pPr>
      <w:r w:rsidRPr="008C17AC">
        <w:rPr>
          <w:rFonts w:ascii="Times New Roman" w:eastAsia="Times New Roman" w:hAnsi="Times New Roman" w:cs="Times New Roman"/>
        </w:rPr>
        <w:t>Although</w:t>
      </w:r>
      <w:r w:rsidR="44361700" w:rsidRPr="008C17AC">
        <w:rPr>
          <w:rFonts w:ascii="Times New Roman" w:eastAsia="Times New Roman" w:hAnsi="Times New Roman" w:cs="Times New Roman"/>
        </w:rPr>
        <w:t xml:space="preserve"> multifaceted efforts underscore a shared commitment toward</w:t>
      </w:r>
      <w:r w:rsidRPr="008C17AC">
        <w:rPr>
          <w:rFonts w:ascii="Times New Roman" w:eastAsia="Times New Roman" w:hAnsi="Times New Roman" w:cs="Times New Roman"/>
        </w:rPr>
        <w:t>s</w:t>
      </w:r>
      <w:r w:rsidR="44361700" w:rsidRPr="008C17AC">
        <w:rPr>
          <w:rFonts w:ascii="Times New Roman" w:eastAsia="Times New Roman" w:hAnsi="Times New Roman" w:cs="Times New Roman"/>
        </w:rPr>
        <w:t xml:space="preserve"> reproducibility within</w:t>
      </w:r>
      <w:r w:rsidR="3E818B50" w:rsidRPr="008C17AC">
        <w:rPr>
          <w:rFonts w:ascii="Times New Roman" w:eastAsia="Times New Roman" w:hAnsi="Times New Roman" w:cs="Times New Roman"/>
        </w:rPr>
        <w:t xml:space="preserve"> much of</w:t>
      </w:r>
      <w:r w:rsidR="44361700" w:rsidRPr="008C17AC">
        <w:rPr>
          <w:rFonts w:ascii="Times New Roman" w:eastAsia="Times New Roman" w:hAnsi="Times New Roman" w:cs="Times New Roman"/>
        </w:rPr>
        <w:t xml:space="preserve"> the academic landscape,</w:t>
      </w:r>
      <w:r w:rsidR="70302C57" w:rsidRPr="008C17AC">
        <w:rPr>
          <w:rFonts w:ascii="Times New Roman" w:eastAsia="Times New Roman" w:hAnsi="Times New Roman" w:cs="Times New Roman"/>
        </w:rPr>
        <w:t xml:space="preserve"> the extent to which practices and interventions have been empirically investigated</w:t>
      </w:r>
      <w:r w:rsidR="2E288BF6" w:rsidRPr="008C17AC">
        <w:rPr>
          <w:rFonts w:ascii="Times New Roman" w:eastAsia="Times New Roman" w:hAnsi="Times New Roman" w:cs="Times New Roman"/>
        </w:rPr>
        <w:t xml:space="preserve"> for their effectiveness</w:t>
      </w:r>
      <w:r w:rsidR="5AAD9220" w:rsidRPr="008C17AC">
        <w:rPr>
          <w:rFonts w:ascii="Times New Roman" w:eastAsia="Times New Roman" w:hAnsi="Times New Roman" w:cs="Times New Roman"/>
        </w:rPr>
        <w:t xml:space="preserve"> to improve </w:t>
      </w:r>
      <w:r w:rsidR="753ECC3B" w:rsidRPr="008C17AC">
        <w:rPr>
          <w:rFonts w:ascii="Times New Roman" w:eastAsia="Times New Roman" w:hAnsi="Times New Roman" w:cs="Times New Roman"/>
        </w:rPr>
        <w:t>reproducibility</w:t>
      </w:r>
      <w:r w:rsidR="70302C57" w:rsidRPr="008C17AC">
        <w:rPr>
          <w:rFonts w:ascii="Times New Roman" w:eastAsia="Times New Roman" w:hAnsi="Times New Roman" w:cs="Times New Roman"/>
        </w:rPr>
        <w:t xml:space="preserve">, </w:t>
      </w:r>
      <w:r w:rsidR="6E52E94B" w:rsidRPr="008C17AC">
        <w:rPr>
          <w:rFonts w:ascii="Times New Roman" w:eastAsia="Times New Roman" w:hAnsi="Times New Roman" w:cs="Times New Roman"/>
        </w:rPr>
        <w:t>across research disciplines a</w:t>
      </w:r>
      <w:r w:rsidR="15B706CA" w:rsidRPr="008C17AC">
        <w:rPr>
          <w:rFonts w:ascii="Times New Roman" w:eastAsia="Times New Roman" w:hAnsi="Times New Roman" w:cs="Times New Roman"/>
        </w:rPr>
        <w:t xml:space="preserve">nd </w:t>
      </w:r>
      <w:r w:rsidR="6E52E94B" w:rsidRPr="008C17AC">
        <w:rPr>
          <w:rFonts w:ascii="Times New Roman" w:eastAsia="Times New Roman" w:hAnsi="Times New Roman" w:cs="Times New Roman"/>
        </w:rPr>
        <w:t xml:space="preserve">time, </w:t>
      </w:r>
      <w:r w:rsidR="7C7AFB36" w:rsidRPr="008C17AC">
        <w:rPr>
          <w:rFonts w:ascii="Times New Roman" w:eastAsia="Times New Roman" w:hAnsi="Times New Roman" w:cs="Times New Roman"/>
        </w:rPr>
        <w:t>remains</w:t>
      </w:r>
      <w:r w:rsidR="70302C57" w:rsidRPr="008C17AC">
        <w:rPr>
          <w:rFonts w:ascii="Times New Roman" w:eastAsia="Times New Roman" w:hAnsi="Times New Roman" w:cs="Times New Roman"/>
        </w:rPr>
        <w:t xml:space="preserve"> unclear</w:t>
      </w:r>
      <w:r w:rsidR="2B996593" w:rsidRPr="008C17AC">
        <w:rPr>
          <w:rFonts w:ascii="Times New Roman" w:eastAsia="Times New Roman" w:hAnsi="Times New Roman" w:cs="Times New Roman"/>
        </w:rPr>
        <w:t xml:space="preserve"> </w:t>
      </w:r>
      <w:r w:rsidR="7859E8FF" w:rsidRPr="008C17AC">
        <w:rPr>
          <w:rFonts w:ascii="Times New Roman" w:eastAsia="Times New Roman" w:hAnsi="Times New Roman" w:cs="Times New Roman"/>
          <w:sz w:val="24"/>
          <w:szCs w:val="24"/>
        </w:rPr>
        <w:fldChar w:fldCharType="begin"/>
      </w:r>
      <w:r w:rsidR="7859E8FF" w:rsidRPr="008C17AC">
        <w:rPr>
          <w:rFonts w:ascii="Times New Roman" w:eastAsia="Times New Roman" w:hAnsi="Times New Roman" w:cs="Times New Roman"/>
          <w:sz w:val="24"/>
          <w:szCs w:val="24"/>
        </w:rPr>
        <w:instrText xml:space="preserve"> ADDIN ZOTERO_ITEM CSL_CITATION {"citationID":"y8hY5EdW","properties":{"formattedCitation":"[44]","plainCitation":"[44]","noteIndex":0},"citationItems":[{"id":31263,"uris":["http://zotero.org/groups/4983756/items/EK2GE33H"],"itemData":{"id":31263,"type":"article-journal","container-title":"American Psychologist","DOI":"10.1037/amp0000871","ISSN":"1935-990X, 0003-066X","issue":"3","journalAbbreviation":"American Psychologist","language":"en","license":"http://www.apa.org/pubs/journals/resources/open-access.aspx","page":"467-475","source":"DOI.org (Crossref)","title":"Now is the time to assess the effects of open science practiceswith randomized control trials.","volume":"77","author":[{"family":"Suls","given":"Jerry"},{"family":"Rothman","given":"Alexander J."},{"family":"Davidson","given":"Karina W."}],"issued":{"date-parts":[["2022",4]]}}}],"schema":"https://github.com/citation-style-language/schema/raw/master/csl-citation.json"} </w:instrText>
      </w:r>
      <w:r w:rsidR="7859E8FF" w:rsidRPr="008C17AC">
        <w:rPr>
          <w:rFonts w:ascii="Times New Roman" w:eastAsia="Times New Roman" w:hAnsi="Times New Roman" w:cs="Times New Roman"/>
          <w:sz w:val="24"/>
          <w:szCs w:val="24"/>
        </w:rPr>
        <w:fldChar w:fldCharType="separate"/>
      </w:r>
      <w:r w:rsidR="5431C6FC" w:rsidRPr="008C17AC">
        <w:rPr>
          <w:rFonts w:ascii="Times New Roman" w:hAnsi="Times New Roman" w:cs="Times New Roman"/>
        </w:rPr>
        <w:t>[44]</w:t>
      </w:r>
      <w:r w:rsidR="7859E8FF" w:rsidRPr="008C17AC">
        <w:rPr>
          <w:rFonts w:ascii="Times New Roman" w:eastAsia="Times New Roman" w:hAnsi="Times New Roman" w:cs="Times New Roman"/>
          <w:sz w:val="24"/>
          <w:szCs w:val="24"/>
        </w:rPr>
        <w:fldChar w:fldCharType="end"/>
      </w:r>
      <w:r w:rsidR="0B37D1E8" w:rsidRPr="008C17AC">
        <w:rPr>
          <w:rFonts w:ascii="Times New Roman" w:eastAsia="Times New Roman" w:hAnsi="Times New Roman" w:cs="Times New Roman"/>
        </w:rPr>
        <w:t xml:space="preserve">. </w:t>
      </w:r>
      <w:r w:rsidR="0567FC48" w:rsidRPr="008C17AC">
        <w:rPr>
          <w:rFonts w:ascii="Times New Roman" w:eastAsia="Times New Roman" w:hAnsi="Times New Roman" w:cs="Times New Roman"/>
        </w:rPr>
        <w:t>T</w:t>
      </w:r>
      <w:r w:rsidR="4C2868C5" w:rsidRPr="008C17AC">
        <w:rPr>
          <w:rFonts w:ascii="Times New Roman" w:eastAsia="Times New Roman" w:hAnsi="Times New Roman" w:cs="Times New Roman"/>
        </w:rPr>
        <w:t>o assess which interventions have been formally tested for their effectiveness</w:t>
      </w:r>
      <w:r w:rsidR="5A046F8C" w:rsidRPr="008C17AC">
        <w:rPr>
          <w:rFonts w:ascii="Times New Roman" w:eastAsia="Times New Roman" w:hAnsi="Times New Roman" w:cs="Times New Roman"/>
        </w:rPr>
        <w:t xml:space="preserve"> in improving the reproducibility of science</w:t>
      </w:r>
      <w:r w:rsidR="4C2868C5" w:rsidRPr="008C17AC">
        <w:rPr>
          <w:rFonts w:ascii="Times New Roman" w:eastAsia="Times New Roman" w:hAnsi="Times New Roman" w:cs="Times New Roman"/>
        </w:rPr>
        <w:t xml:space="preserve">, </w:t>
      </w:r>
      <w:r w:rsidR="34AE5170" w:rsidRPr="008C17AC">
        <w:rPr>
          <w:rFonts w:ascii="Times New Roman" w:eastAsia="Times New Roman" w:hAnsi="Times New Roman" w:cs="Times New Roman"/>
        </w:rPr>
        <w:t xml:space="preserve">we </w:t>
      </w:r>
      <w:r w:rsidR="1FEED9DB" w:rsidRPr="008C17AC">
        <w:rPr>
          <w:rFonts w:ascii="Times New Roman" w:eastAsia="Times New Roman" w:hAnsi="Times New Roman" w:cs="Times New Roman"/>
        </w:rPr>
        <w:t>conduct</w:t>
      </w:r>
      <w:r w:rsidR="726EEF58" w:rsidRPr="008C17AC">
        <w:rPr>
          <w:rFonts w:ascii="Times New Roman" w:eastAsia="Times New Roman" w:hAnsi="Times New Roman" w:cs="Times New Roman"/>
        </w:rPr>
        <w:t>ed</w:t>
      </w:r>
      <w:r w:rsidR="1FEED9DB" w:rsidRPr="008C17AC">
        <w:rPr>
          <w:rFonts w:ascii="Times New Roman" w:eastAsia="Times New Roman" w:hAnsi="Times New Roman" w:cs="Times New Roman"/>
        </w:rPr>
        <w:t xml:space="preserve"> a scoping review of the literature</w:t>
      </w:r>
      <w:r w:rsidR="39EFA21C" w:rsidRPr="008C17AC">
        <w:rPr>
          <w:rFonts w:ascii="Times New Roman" w:eastAsia="Times New Roman" w:hAnsi="Times New Roman" w:cs="Times New Roman"/>
        </w:rPr>
        <w:t xml:space="preserve"> on </w:t>
      </w:r>
      <w:r w:rsidR="54D3445D" w:rsidRPr="008C17AC">
        <w:rPr>
          <w:rFonts w:ascii="Times New Roman" w:eastAsia="Times New Roman" w:hAnsi="Times New Roman" w:cs="Times New Roman"/>
        </w:rPr>
        <w:t>this</w:t>
      </w:r>
      <w:r w:rsidR="1FEED9DB" w:rsidRPr="008C17AC">
        <w:rPr>
          <w:rFonts w:ascii="Times New Roman" w:eastAsia="Times New Roman" w:hAnsi="Times New Roman" w:cs="Times New Roman"/>
        </w:rPr>
        <w:t>.</w:t>
      </w:r>
      <w:r w:rsidR="352B1426" w:rsidRPr="008C17AC">
        <w:rPr>
          <w:rFonts w:ascii="Times New Roman" w:eastAsia="Times New Roman" w:hAnsi="Times New Roman" w:cs="Times New Roman"/>
        </w:rPr>
        <w:t xml:space="preserve"> </w:t>
      </w:r>
      <w:r w:rsidR="30BC9000" w:rsidRPr="008C17AC">
        <w:rPr>
          <w:rFonts w:ascii="Times New Roman" w:eastAsia="Times New Roman" w:hAnsi="Times New Roman" w:cs="Times New Roman"/>
        </w:rPr>
        <w:t>By s</w:t>
      </w:r>
      <w:r w:rsidR="549AA757" w:rsidRPr="008C17AC">
        <w:rPr>
          <w:rFonts w:ascii="Times New Roman" w:eastAsia="Times New Roman" w:hAnsi="Times New Roman" w:cs="Times New Roman"/>
        </w:rPr>
        <w:t>ummarizing</w:t>
      </w:r>
      <w:r w:rsidR="30BC9000" w:rsidRPr="008C17AC">
        <w:rPr>
          <w:rFonts w:ascii="Times New Roman" w:eastAsia="Times New Roman" w:hAnsi="Times New Roman" w:cs="Times New Roman"/>
        </w:rPr>
        <w:t xml:space="preserve"> current evidence and highlighting gaps in knowledge, this study </w:t>
      </w:r>
      <w:r w:rsidR="78C91829" w:rsidRPr="008C17AC">
        <w:rPr>
          <w:rFonts w:ascii="Times New Roman" w:eastAsia="Times New Roman" w:hAnsi="Times New Roman" w:cs="Times New Roman"/>
        </w:rPr>
        <w:t xml:space="preserve">aims to </w:t>
      </w:r>
      <w:r w:rsidR="30BC9000" w:rsidRPr="008C17AC">
        <w:rPr>
          <w:rFonts w:ascii="Times New Roman" w:eastAsia="Times New Roman" w:hAnsi="Times New Roman" w:cs="Times New Roman"/>
        </w:rPr>
        <w:t>provide insights for researchers, policymakers, and stakeholders invested in promoting reproducibility.</w:t>
      </w:r>
    </w:p>
    <w:p w14:paraId="60324C62" w14:textId="77777777" w:rsidR="00AC2E5F" w:rsidRPr="008C17AC" w:rsidRDefault="00AC2E5F" w:rsidP="23EF21E2">
      <w:pPr>
        <w:spacing w:line="360" w:lineRule="auto"/>
        <w:ind w:left="-20" w:right="-20" w:firstLine="587"/>
        <w:jc w:val="both"/>
        <w:rPr>
          <w:rFonts w:ascii="Times New Roman" w:eastAsia="Times New Roman" w:hAnsi="Times New Roman" w:cs="Times New Roman"/>
          <w:b/>
          <w:bCs/>
        </w:rPr>
      </w:pPr>
    </w:p>
    <w:p w14:paraId="78E87E9C" w14:textId="6BE58BD5" w:rsidR="1E959256" w:rsidRPr="008C17AC" w:rsidRDefault="4E70F6AE" w:rsidP="23EF21E2">
      <w:pPr>
        <w:spacing w:line="360" w:lineRule="auto"/>
        <w:ind w:left="-20" w:right="-20" w:firstLine="587"/>
        <w:jc w:val="both"/>
        <w:rPr>
          <w:rFonts w:ascii="Times New Roman" w:eastAsia="Times New Roman" w:hAnsi="Times New Roman" w:cs="Times New Roman"/>
        </w:rPr>
      </w:pPr>
      <w:r w:rsidRPr="008C17AC">
        <w:rPr>
          <w:rFonts w:ascii="Times New Roman" w:eastAsia="Times New Roman" w:hAnsi="Times New Roman" w:cs="Times New Roman"/>
          <w:b/>
          <w:bCs/>
        </w:rPr>
        <w:t>Objectives</w:t>
      </w:r>
    </w:p>
    <w:p w14:paraId="396D010A" w14:textId="60E03816" w:rsidR="1E959256" w:rsidRPr="008C17AC" w:rsidRDefault="48C838E3" w:rsidP="23EF21E2">
      <w:pPr>
        <w:spacing w:after="120" w:line="360" w:lineRule="auto"/>
        <w:ind w:right="-20" w:firstLine="567"/>
        <w:rPr>
          <w:rFonts w:ascii="Times New Roman" w:eastAsia="Times New Roman" w:hAnsi="Times New Roman" w:cs="Times New Roman"/>
        </w:rPr>
      </w:pPr>
      <w:r w:rsidRPr="008C17AC">
        <w:rPr>
          <w:rFonts w:ascii="Times New Roman" w:eastAsia="Times New Roman" w:hAnsi="Times New Roman" w:cs="Times New Roman"/>
        </w:rPr>
        <w:t xml:space="preserve">The objective of this </w:t>
      </w:r>
      <w:r w:rsidR="4082D231" w:rsidRPr="008C17AC">
        <w:rPr>
          <w:rFonts w:ascii="Times New Roman" w:eastAsia="Times New Roman" w:hAnsi="Times New Roman" w:cs="Times New Roman"/>
        </w:rPr>
        <w:t>scoping review</w:t>
      </w:r>
      <w:r w:rsidRPr="008C17AC">
        <w:rPr>
          <w:rFonts w:ascii="Times New Roman" w:eastAsia="Times New Roman" w:hAnsi="Times New Roman" w:cs="Times New Roman"/>
        </w:rPr>
        <w:t xml:space="preserve"> is to </w:t>
      </w:r>
      <w:r w:rsidR="41D40D43" w:rsidRPr="008C17AC">
        <w:rPr>
          <w:rFonts w:ascii="Times New Roman" w:eastAsia="Times New Roman" w:hAnsi="Times New Roman" w:cs="Times New Roman"/>
        </w:rPr>
        <w:t xml:space="preserve">provide an overview of </w:t>
      </w:r>
      <w:r w:rsidR="3E89D2D9" w:rsidRPr="008C17AC">
        <w:rPr>
          <w:rFonts w:ascii="Times New Roman" w:eastAsia="Times New Roman" w:hAnsi="Times New Roman" w:cs="Times New Roman"/>
        </w:rPr>
        <w:t>interventions</w:t>
      </w:r>
      <w:r w:rsidR="7EFE0F4B" w:rsidRPr="008C17AC">
        <w:rPr>
          <w:rFonts w:ascii="Times New Roman" w:eastAsia="Times New Roman" w:hAnsi="Times New Roman" w:cs="Times New Roman"/>
        </w:rPr>
        <w:t xml:space="preserve"> that have been formally investigated for their effect on </w:t>
      </w:r>
      <w:r w:rsidRPr="008C17AC">
        <w:rPr>
          <w:rFonts w:ascii="Times New Roman" w:eastAsia="Times New Roman" w:hAnsi="Times New Roman" w:cs="Times New Roman"/>
        </w:rPr>
        <w:t>reproducibility and replicability in science.</w:t>
      </w:r>
      <w:r w:rsidR="55C66E33" w:rsidRPr="008C17AC">
        <w:rPr>
          <w:rFonts w:ascii="Times New Roman" w:eastAsia="Times New Roman" w:hAnsi="Times New Roman" w:cs="Times New Roman"/>
        </w:rPr>
        <w:t xml:space="preserve"> </w:t>
      </w:r>
      <w:r w:rsidR="2309A6F7" w:rsidRPr="008C17AC">
        <w:rPr>
          <w:rFonts w:ascii="Times New Roman" w:eastAsia="Times New Roman" w:hAnsi="Times New Roman" w:cs="Times New Roman"/>
        </w:rPr>
        <w:t xml:space="preserve">An intervention could be any action exhibited by either individual researchers or </w:t>
      </w:r>
      <w:r w:rsidR="54D3445D" w:rsidRPr="008C17AC">
        <w:rPr>
          <w:rFonts w:ascii="Times New Roman" w:eastAsia="Times New Roman" w:hAnsi="Times New Roman" w:cs="Times New Roman"/>
        </w:rPr>
        <w:t xml:space="preserve">scientific </w:t>
      </w:r>
      <w:r w:rsidR="2309A6F7" w:rsidRPr="008C17AC">
        <w:rPr>
          <w:rFonts w:ascii="Times New Roman" w:eastAsia="Times New Roman" w:hAnsi="Times New Roman" w:cs="Times New Roman"/>
        </w:rPr>
        <w:t>institutions (e.g.</w:t>
      </w:r>
      <w:r w:rsidR="16D2D310" w:rsidRPr="008C17AC">
        <w:rPr>
          <w:rFonts w:ascii="Times New Roman" w:eastAsia="Times New Roman" w:hAnsi="Times New Roman" w:cs="Times New Roman"/>
        </w:rPr>
        <w:t>,</w:t>
      </w:r>
      <w:r w:rsidR="2309A6F7" w:rsidRPr="008C17AC">
        <w:rPr>
          <w:rFonts w:ascii="Times New Roman" w:eastAsia="Times New Roman" w:hAnsi="Times New Roman" w:cs="Times New Roman"/>
        </w:rPr>
        <w:t xml:space="preserve"> research institutes, publishers</w:t>
      </w:r>
      <w:r w:rsidR="54D3445D" w:rsidRPr="008C17AC">
        <w:rPr>
          <w:rFonts w:ascii="Times New Roman" w:eastAsia="Times New Roman" w:hAnsi="Times New Roman" w:cs="Times New Roman"/>
        </w:rPr>
        <w:t xml:space="preserve"> and</w:t>
      </w:r>
      <w:r w:rsidR="2309A6F7" w:rsidRPr="008C17AC">
        <w:rPr>
          <w:rFonts w:ascii="Times New Roman" w:eastAsia="Times New Roman" w:hAnsi="Times New Roman" w:cs="Times New Roman"/>
        </w:rPr>
        <w:t xml:space="preserve"> f</w:t>
      </w:r>
      <w:r w:rsidR="3D27238E" w:rsidRPr="008C17AC">
        <w:rPr>
          <w:rFonts w:ascii="Times New Roman" w:eastAsia="Times New Roman" w:hAnsi="Times New Roman" w:cs="Times New Roman"/>
        </w:rPr>
        <w:t>unders) with the aim to enhance reproducibility. We specifically focused on Open Science</w:t>
      </w:r>
      <w:r w:rsidR="297482D3" w:rsidRPr="008C17AC">
        <w:rPr>
          <w:rFonts w:ascii="Times New Roman" w:eastAsia="Times New Roman" w:hAnsi="Times New Roman" w:cs="Times New Roman"/>
        </w:rPr>
        <w:t xml:space="preserve"> practices but interpreted their definition broadly. </w:t>
      </w:r>
    </w:p>
    <w:p w14:paraId="19D4E73C" w14:textId="3C37A390" w:rsidR="377F998F" w:rsidRPr="008C17AC" w:rsidRDefault="377F998F" w:rsidP="377F998F">
      <w:pPr>
        <w:spacing w:after="120" w:line="360" w:lineRule="auto"/>
        <w:ind w:right="-20"/>
        <w:rPr>
          <w:rFonts w:ascii="Times New Roman" w:eastAsia="Times New Roman" w:hAnsi="Times New Roman" w:cs="Times New Roman"/>
          <w:sz w:val="24"/>
          <w:szCs w:val="24"/>
        </w:rPr>
      </w:pPr>
    </w:p>
    <w:p w14:paraId="2AD4513B" w14:textId="2447F95A" w:rsidR="009D0FED" w:rsidRPr="008C17AC" w:rsidRDefault="14713B7C" w:rsidP="23EF21E2">
      <w:pPr>
        <w:spacing w:after="120" w:line="360" w:lineRule="auto"/>
        <w:ind w:right="-20"/>
        <w:rPr>
          <w:rFonts w:ascii="Times New Roman" w:eastAsia="Times New Roman" w:hAnsi="Times New Roman" w:cs="Times New Roman"/>
          <w:b/>
          <w:bCs/>
        </w:rPr>
      </w:pPr>
      <w:r w:rsidRPr="008C17AC">
        <w:rPr>
          <w:rFonts w:ascii="Times New Roman" w:eastAsia="Times New Roman" w:hAnsi="Times New Roman" w:cs="Times New Roman"/>
          <w:b/>
          <w:bCs/>
        </w:rPr>
        <w:t>Methods</w:t>
      </w:r>
    </w:p>
    <w:p w14:paraId="3D00EB2E" w14:textId="2561DD63" w:rsidR="42CA6190" w:rsidRPr="008C17AC" w:rsidRDefault="214A9C18" w:rsidP="23EF21E2">
      <w:pPr>
        <w:spacing w:after="120" w:line="360" w:lineRule="auto"/>
        <w:ind w:right="-20"/>
        <w:rPr>
          <w:rFonts w:ascii="Times New Roman" w:eastAsia="Times New Roman" w:hAnsi="Times New Roman" w:cs="Times New Roman"/>
          <w:b/>
          <w:bCs/>
        </w:rPr>
      </w:pPr>
      <w:r w:rsidRPr="008C17AC">
        <w:rPr>
          <w:rFonts w:ascii="Times New Roman" w:eastAsia="Times New Roman" w:hAnsi="Times New Roman" w:cs="Times New Roman"/>
          <w:b/>
          <w:bCs/>
        </w:rPr>
        <w:t>Study registration</w:t>
      </w:r>
    </w:p>
    <w:p w14:paraId="79B2361E" w14:textId="407C26DF" w:rsidR="009D0FED" w:rsidRPr="008C17AC" w:rsidRDefault="66A4223D" w:rsidP="23EF21E2">
      <w:pPr>
        <w:spacing w:after="120" w:line="360" w:lineRule="auto"/>
        <w:ind w:right="-20" w:firstLine="567"/>
        <w:rPr>
          <w:rFonts w:ascii="Times New Roman" w:eastAsia="Times New Roman" w:hAnsi="Times New Roman" w:cs="Times New Roman"/>
        </w:rPr>
      </w:pPr>
      <w:r w:rsidRPr="008C17AC">
        <w:rPr>
          <w:rFonts w:ascii="Times New Roman" w:eastAsia="Times New Roman" w:hAnsi="Times New Roman" w:cs="Times New Roman"/>
        </w:rPr>
        <w:t>Th</w:t>
      </w:r>
      <w:r w:rsidR="16535BB0" w:rsidRPr="008C17AC">
        <w:rPr>
          <w:rFonts w:ascii="Times New Roman" w:eastAsia="Times New Roman" w:hAnsi="Times New Roman" w:cs="Times New Roman"/>
        </w:rPr>
        <w:t xml:space="preserve">e study </w:t>
      </w:r>
      <w:r w:rsidR="29BCE389" w:rsidRPr="008C17AC">
        <w:rPr>
          <w:rFonts w:ascii="Times New Roman" w:eastAsia="Times New Roman" w:hAnsi="Times New Roman" w:cs="Times New Roman"/>
        </w:rPr>
        <w:t xml:space="preserve">protocol </w:t>
      </w:r>
      <w:r w:rsidRPr="008C17AC">
        <w:rPr>
          <w:rFonts w:ascii="Times New Roman" w:eastAsia="Times New Roman" w:hAnsi="Times New Roman" w:cs="Times New Roman"/>
        </w:rPr>
        <w:t>was pre-registered on</w:t>
      </w:r>
      <w:r w:rsidR="6DCA6DB1" w:rsidRPr="008C17AC">
        <w:rPr>
          <w:rFonts w:ascii="Times New Roman" w:eastAsia="Times New Roman" w:hAnsi="Times New Roman" w:cs="Times New Roman"/>
        </w:rPr>
        <w:t xml:space="preserve"> </w:t>
      </w:r>
      <w:r w:rsidR="7BE14B06" w:rsidRPr="008C17AC">
        <w:rPr>
          <w:rFonts w:ascii="Times New Roman" w:eastAsia="Times New Roman" w:hAnsi="Times New Roman" w:cs="Times New Roman"/>
        </w:rPr>
        <w:t xml:space="preserve">the </w:t>
      </w:r>
      <w:r w:rsidR="6DCA6DB1" w:rsidRPr="008C17AC">
        <w:rPr>
          <w:rFonts w:ascii="Times New Roman" w:eastAsia="Times New Roman" w:hAnsi="Times New Roman" w:cs="Times New Roman"/>
        </w:rPr>
        <w:t>O</w:t>
      </w:r>
      <w:r w:rsidR="2EB04158" w:rsidRPr="008C17AC">
        <w:rPr>
          <w:rFonts w:ascii="Times New Roman" w:eastAsia="Times New Roman" w:hAnsi="Times New Roman" w:cs="Times New Roman"/>
        </w:rPr>
        <w:t xml:space="preserve">pen </w:t>
      </w:r>
      <w:r w:rsidR="6DCA6DB1" w:rsidRPr="008C17AC">
        <w:rPr>
          <w:rFonts w:ascii="Times New Roman" w:eastAsia="Times New Roman" w:hAnsi="Times New Roman" w:cs="Times New Roman"/>
        </w:rPr>
        <w:t>S</w:t>
      </w:r>
      <w:r w:rsidR="4827EBCB" w:rsidRPr="008C17AC">
        <w:rPr>
          <w:rFonts w:ascii="Times New Roman" w:eastAsia="Times New Roman" w:hAnsi="Times New Roman" w:cs="Times New Roman"/>
        </w:rPr>
        <w:t xml:space="preserve">cience </w:t>
      </w:r>
      <w:r w:rsidR="6DCA6DB1" w:rsidRPr="008C17AC">
        <w:rPr>
          <w:rFonts w:ascii="Times New Roman" w:eastAsia="Times New Roman" w:hAnsi="Times New Roman" w:cs="Times New Roman"/>
        </w:rPr>
        <w:t>F</w:t>
      </w:r>
      <w:r w:rsidR="78FA0FED" w:rsidRPr="008C17AC">
        <w:rPr>
          <w:rFonts w:ascii="Times New Roman" w:eastAsia="Times New Roman" w:hAnsi="Times New Roman" w:cs="Times New Roman"/>
        </w:rPr>
        <w:t>ramework</w:t>
      </w:r>
      <w:r w:rsidR="22865EF0" w:rsidRPr="008C17AC">
        <w:rPr>
          <w:rFonts w:ascii="Times New Roman" w:eastAsia="Times New Roman" w:hAnsi="Times New Roman" w:cs="Times New Roman"/>
        </w:rPr>
        <w:t xml:space="preserve"> (OSF)</w:t>
      </w:r>
      <w:r w:rsidR="6DCA6DB1" w:rsidRPr="008C17AC">
        <w:rPr>
          <w:rFonts w:ascii="Times New Roman" w:eastAsia="Times New Roman" w:hAnsi="Times New Roman" w:cs="Times New Roman"/>
        </w:rPr>
        <w:t xml:space="preserve"> </w:t>
      </w:r>
      <w:r w:rsidR="6BE63C4B" w:rsidRPr="008C17AC">
        <w:rPr>
          <w:rFonts w:ascii="Times New Roman" w:eastAsia="Times New Roman" w:hAnsi="Times New Roman" w:cs="Times New Roman"/>
        </w:rPr>
        <w:t>(</w:t>
      </w:r>
      <w:r w:rsidR="6DCA6DB1" w:rsidRPr="008C17AC">
        <w:rPr>
          <w:rFonts w:ascii="Times New Roman" w:eastAsia="Times New Roman" w:hAnsi="Times New Roman" w:cs="Times New Roman"/>
        </w:rPr>
        <w:t xml:space="preserve">DOI </w:t>
      </w:r>
      <w:hyperlink r:id="rId17">
        <w:hyperlink r:id="rId18" w:history="1">
          <w:r w:rsidR="6DCA6DB1" w:rsidRPr="008C17AC">
            <w:rPr>
              <w:rStyle w:val="Hyperlink"/>
              <w:rFonts w:ascii="Times New Roman" w:eastAsia="Times New Roman" w:hAnsi="Times New Roman" w:cs="Times New Roman"/>
              <w:color w:val="auto"/>
              <w:u w:val="none"/>
            </w:rPr>
            <w:t>10.17605/OSF.IO/D65YS</w:t>
          </w:r>
        </w:hyperlink>
        <w:r w:rsidR="5F094B64" w:rsidRPr="008C17AC">
          <w:rPr>
            <w:rFonts w:ascii="Times New Roman" w:eastAsia="Times New Roman" w:hAnsi="Times New Roman" w:cs="Times New Roman"/>
          </w:rPr>
          <w:t>)</w:t>
        </w:r>
      </w:hyperlink>
      <w:r w:rsidR="008A4532" w:rsidRPr="008C17AC">
        <w:rPr>
          <w:rStyle w:val="Hyperlink"/>
          <w:rFonts w:ascii="Times New Roman" w:eastAsia="Times New Roman" w:hAnsi="Times New Roman" w:cs="Times New Roman"/>
          <w:color w:val="auto"/>
          <w:u w:val="none"/>
        </w:rPr>
        <w:t xml:space="preserve"> and published on Open Research Europe </w:t>
      </w:r>
      <w:r w:rsidR="00FD3892" w:rsidRPr="008C17AC">
        <w:rPr>
          <w:rStyle w:val="Hyperlink"/>
          <w:rFonts w:ascii="Times New Roman" w:eastAsia="Times New Roman" w:hAnsi="Times New Roman" w:cs="Times New Roman"/>
          <w:color w:val="auto"/>
          <w:u w:val="none"/>
        </w:rPr>
        <w:t>(</w:t>
      </w:r>
      <w:r w:rsidR="008A4532" w:rsidRPr="008C17AC">
        <w:rPr>
          <w:rStyle w:val="Hyperlink"/>
          <w:rFonts w:ascii="Times New Roman" w:eastAsia="Times New Roman" w:hAnsi="Times New Roman" w:cs="Times New Roman"/>
          <w:color w:val="auto"/>
          <w:u w:val="none"/>
        </w:rPr>
        <w:t>ORE)</w:t>
      </w:r>
      <w:r w:rsidR="00FD3892" w:rsidRPr="008C17AC">
        <w:rPr>
          <w:rStyle w:val="Hyperlink"/>
          <w:rFonts w:ascii="Times New Roman" w:eastAsia="Times New Roman" w:hAnsi="Times New Roman" w:cs="Times New Roman"/>
          <w:color w:val="auto"/>
          <w:u w:val="none"/>
        </w:rPr>
        <w:t xml:space="preserve"> </w:t>
      </w:r>
      <w:r w:rsidR="00FD3892" w:rsidRPr="008C17AC">
        <w:rPr>
          <w:rFonts w:ascii="Times New Roman" w:eastAsia="Times New Roman" w:hAnsi="Times New Roman" w:cs="Times New Roman"/>
          <w:sz w:val="24"/>
          <w:szCs w:val="24"/>
        </w:rPr>
        <w:fldChar w:fldCharType="begin"/>
      </w:r>
      <w:r w:rsidR="00FD3892" w:rsidRPr="008C17AC">
        <w:rPr>
          <w:rFonts w:ascii="Times New Roman" w:eastAsia="Times New Roman" w:hAnsi="Times New Roman" w:cs="Times New Roman"/>
          <w:sz w:val="24"/>
          <w:szCs w:val="24"/>
        </w:rPr>
        <w:instrText xml:space="preserve"> ADDIN ZOTERO_ITEM CSL_CITATION {"citationID":"GlZKtBcy","properties":{"formattedCitation":"[45]","plainCitation":"[45]","noteIndex":0},"citationItems":[{"id":31250,"uris":["http://zotero.org/groups/4983756/items/ISBKYYR4"],"itemData":{"id":31250,"type":"article-journal","abstract":"Background Many interventions, especially those linked to open science, have been proposed to combat the reproducibility crisis. To what extent these propositions are based on scientific evidence from empirical evaluations is not clear. Aims The primary objective is to identify interventions that have been formally investigated regarding their influence on reproducibility and replicability. A secondary objective is to list any facilitators or barriers reported and to identify gaps in the evidence. Methods We will search broadly by using electronic bibliographic databases, broad internet search, and contacting experts in the field of reproducibility, replicability, and open science. Any study investigating interventions for their influence on the reproducibility and replicability of research will be selected, including those studies additionally investigating drivers and barriers to the implementation and effectiveness of interventions. Studies will first be selected by title and abstract (if available), semi-automated, and then by reading the full text by at least two independent reviewers. We will analyze existing scientific evidence using scoping review and evidence gap mapping methodologies. Results The results will be presented in interactive evidence maps, summarized in a narrative synthesis, and serve as input for subsequent research. Review registration This protocol has been pre-registered on OSF under doi https://doi.org/10.17605/OSF.IO/D65YS","container-title":"Open Research Europe","DOI":"10.12688/openreseurope.16567.1","ISSN":"2732-5121","journalAbbreviation":"Open Res Europe","language":"en","page":"179","source":"DOI.org (Crossref)","title":"Scoping review and evidence mapping of interventions aimed at improving reproducible and replicable science: Protocol","title-short":"Scoping review and evidence mapping of interventions aimed at improving reproducible and replicable science","volume":"3","author":[{"family":"Dudda","given":"Leonie A."},{"family":"Kozula","given":"Magdalena"},{"family":"Ross-Hellauer","given":"Tony"},{"family":"Kormann","given":"Eva"},{"family":"Spijker","given":"René"},{"family":"DeVito","given":"Nicholas"},{"family":"Gopalakrishna","given":"Gowri"},{"family":"Van Den Eynden","given":"Veerle"},{"family":"Onghena","given":"Patrick"},{"family":"Naudet","given":"Florian"},{"family":"Banzi","given":"Rita"},{"family":"Fratelli","given":"Maddalena"},{"family":"Varga","given":"Monika"},{"family":"Gelsleichter","given":"Yuri Andrei"},{"family":"Stegeman","given":"Inge"},{"family":"Leeflang","given":"Mariska M."}],"issued":{"date-parts":[["2023",10,18]]}}}],"schema":"https://github.com/citation-style-language/schema/raw/master/csl-citation.json"} </w:instrText>
      </w:r>
      <w:r w:rsidR="00FD3892" w:rsidRPr="008C17AC">
        <w:rPr>
          <w:rFonts w:ascii="Times New Roman" w:eastAsia="Times New Roman" w:hAnsi="Times New Roman" w:cs="Times New Roman"/>
          <w:sz w:val="24"/>
          <w:szCs w:val="24"/>
        </w:rPr>
        <w:fldChar w:fldCharType="separate"/>
      </w:r>
      <w:r w:rsidR="00FD3892" w:rsidRPr="008C17AC">
        <w:rPr>
          <w:rFonts w:ascii="Times New Roman" w:hAnsi="Times New Roman" w:cs="Times New Roman"/>
        </w:rPr>
        <w:t>[45]</w:t>
      </w:r>
      <w:r w:rsidR="00FD3892" w:rsidRPr="008C17AC">
        <w:rPr>
          <w:rFonts w:ascii="Times New Roman" w:eastAsia="Times New Roman" w:hAnsi="Times New Roman" w:cs="Times New Roman"/>
          <w:sz w:val="24"/>
          <w:szCs w:val="24"/>
        </w:rPr>
        <w:fldChar w:fldCharType="end"/>
      </w:r>
      <w:r w:rsidR="00FD3892" w:rsidRPr="008C17AC">
        <w:rPr>
          <w:rStyle w:val="Hyperlink"/>
          <w:rFonts w:ascii="Times New Roman" w:eastAsia="Times New Roman" w:hAnsi="Times New Roman" w:cs="Times New Roman"/>
          <w:color w:val="auto"/>
          <w:u w:val="none"/>
        </w:rPr>
        <w:t>.</w:t>
      </w:r>
      <w:r w:rsidR="6DCA6DB1" w:rsidRPr="008C17AC">
        <w:rPr>
          <w:rFonts w:ascii="Times New Roman" w:eastAsia="Times New Roman" w:hAnsi="Times New Roman" w:cs="Times New Roman"/>
        </w:rPr>
        <w:t xml:space="preserve"> </w:t>
      </w:r>
      <w:r w:rsidR="3793A9D0" w:rsidRPr="008C17AC">
        <w:rPr>
          <w:rFonts w:ascii="Times New Roman" w:eastAsia="Times New Roman" w:hAnsi="Times New Roman" w:cs="Times New Roman"/>
        </w:rPr>
        <w:t>D</w:t>
      </w:r>
      <w:r w:rsidR="137CFD8F" w:rsidRPr="008C17AC">
        <w:rPr>
          <w:rFonts w:ascii="Times New Roman" w:eastAsia="Times New Roman" w:hAnsi="Times New Roman" w:cs="Times New Roman"/>
        </w:rPr>
        <w:t>eviations from the protocol are reported transparently</w:t>
      </w:r>
      <w:r w:rsidR="1CC8A21F" w:rsidRPr="008C17AC">
        <w:rPr>
          <w:rFonts w:ascii="Times New Roman" w:eastAsia="Times New Roman" w:hAnsi="Times New Roman" w:cs="Times New Roman"/>
        </w:rPr>
        <w:t xml:space="preserve"> </w:t>
      </w:r>
      <w:r w:rsidR="4142D5C9" w:rsidRPr="008C17AC">
        <w:rPr>
          <w:rFonts w:ascii="Times New Roman" w:eastAsia="Times New Roman" w:hAnsi="Times New Roman" w:cs="Times New Roman"/>
        </w:rPr>
        <w:t xml:space="preserve">in </w:t>
      </w:r>
      <w:r w:rsidR="00FD3892" w:rsidRPr="008C17AC">
        <w:rPr>
          <w:rFonts w:ascii="Times New Roman" w:eastAsia="Times New Roman" w:hAnsi="Times New Roman" w:cs="Times New Roman"/>
        </w:rPr>
        <w:t>Supplementary File 1</w:t>
      </w:r>
      <w:r w:rsidR="0CE6D403" w:rsidRPr="008C17AC">
        <w:rPr>
          <w:rFonts w:ascii="Times New Roman" w:eastAsia="Times New Roman" w:hAnsi="Times New Roman" w:cs="Times New Roman"/>
        </w:rPr>
        <w:t>.</w:t>
      </w:r>
      <w:r w:rsidR="2EBA22B2" w:rsidRPr="008C17AC">
        <w:rPr>
          <w:rFonts w:ascii="Times New Roman" w:eastAsia="Times New Roman" w:hAnsi="Times New Roman" w:cs="Times New Roman"/>
        </w:rPr>
        <w:t xml:space="preserve"> </w:t>
      </w:r>
      <w:r w:rsidR="4FE48E64" w:rsidRPr="008C17AC">
        <w:rPr>
          <w:rFonts w:ascii="Times New Roman" w:eastAsia="Times New Roman" w:hAnsi="Times New Roman" w:cs="Times New Roman"/>
        </w:rPr>
        <w:t xml:space="preserve">All materials, including </w:t>
      </w:r>
      <w:r w:rsidR="3DC36116" w:rsidRPr="008C17AC">
        <w:rPr>
          <w:rFonts w:ascii="Times New Roman" w:eastAsia="Times New Roman" w:hAnsi="Times New Roman" w:cs="Times New Roman"/>
        </w:rPr>
        <w:t>t</w:t>
      </w:r>
      <w:r w:rsidR="2EBA22B2" w:rsidRPr="008C17AC">
        <w:rPr>
          <w:rFonts w:ascii="Times New Roman" w:eastAsia="Times New Roman" w:hAnsi="Times New Roman" w:cs="Times New Roman"/>
        </w:rPr>
        <w:t>he</w:t>
      </w:r>
      <w:r w:rsidR="57A38BDF" w:rsidRPr="008C17AC">
        <w:rPr>
          <w:rFonts w:ascii="Times New Roman" w:eastAsia="Times New Roman" w:hAnsi="Times New Roman" w:cs="Times New Roman"/>
        </w:rPr>
        <w:t xml:space="preserve"> data extraction sheets</w:t>
      </w:r>
      <w:r w:rsidR="7A9B226F" w:rsidRPr="008C17AC">
        <w:rPr>
          <w:rFonts w:ascii="Times New Roman" w:eastAsia="Times New Roman" w:hAnsi="Times New Roman" w:cs="Times New Roman"/>
        </w:rPr>
        <w:t xml:space="preserve">, </w:t>
      </w:r>
      <w:r w:rsidR="2EBA22B2" w:rsidRPr="008C17AC">
        <w:rPr>
          <w:rFonts w:ascii="Times New Roman" w:eastAsia="Times New Roman" w:hAnsi="Times New Roman" w:cs="Times New Roman"/>
        </w:rPr>
        <w:t>data</w:t>
      </w:r>
      <w:r w:rsidR="221487F7" w:rsidRPr="008C17AC">
        <w:rPr>
          <w:rFonts w:ascii="Times New Roman" w:eastAsia="Times New Roman" w:hAnsi="Times New Roman" w:cs="Times New Roman"/>
        </w:rPr>
        <w:t xml:space="preserve"> </w:t>
      </w:r>
      <w:r w:rsidR="57A38BDF" w:rsidRPr="008C17AC">
        <w:rPr>
          <w:rFonts w:ascii="Times New Roman" w:eastAsia="Times New Roman" w:hAnsi="Times New Roman" w:cs="Times New Roman"/>
        </w:rPr>
        <w:t xml:space="preserve">and </w:t>
      </w:r>
      <w:r w:rsidR="221487F7" w:rsidRPr="008C17AC">
        <w:rPr>
          <w:rFonts w:ascii="Times New Roman" w:eastAsia="Times New Roman" w:hAnsi="Times New Roman" w:cs="Times New Roman"/>
        </w:rPr>
        <w:t>code</w:t>
      </w:r>
      <w:r w:rsidR="57A38BDF" w:rsidRPr="008C17AC">
        <w:rPr>
          <w:rFonts w:ascii="Times New Roman" w:eastAsia="Times New Roman" w:hAnsi="Times New Roman" w:cs="Times New Roman"/>
        </w:rPr>
        <w:t xml:space="preserve"> are available on OSF </w:t>
      </w:r>
      <w:r w:rsidR="4D70FF19" w:rsidRPr="008C17AC">
        <w:rPr>
          <w:rFonts w:ascii="Times New Roman" w:eastAsia="Times New Roman" w:hAnsi="Times New Roman" w:cs="Times New Roman"/>
        </w:rPr>
        <w:t>(</w:t>
      </w:r>
      <w:r w:rsidR="57A38BDF" w:rsidRPr="008C17AC">
        <w:rPr>
          <w:rFonts w:ascii="Times New Roman" w:eastAsia="Times New Roman" w:hAnsi="Times New Roman" w:cs="Times New Roman"/>
        </w:rPr>
        <w:t xml:space="preserve">DOI </w:t>
      </w:r>
      <w:hyperlink r:id="rId19">
        <w:hyperlink r:id="rId20" w:history="1">
          <w:r w:rsidR="57A38BDF" w:rsidRPr="008C17AC">
            <w:rPr>
              <w:rStyle w:val="Hyperlink"/>
              <w:rFonts w:ascii="Times New Roman" w:eastAsia="Times New Roman" w:hAnsi="Times New Roman" w:cs="Times New Roman"/>
              <w:color w:val="auto"/>
            </w:rPr>
            <w:t>10.17605/OSF.IO/7EF5H</w:t>
          </w:r>
        </w:hyperlink>
        <w:r w:rsidR="2F23090B" w:rsidRPr="008C17AC">
          <w:rPr>
            <w:rFonts w:ascii="Times New Roman" w:eastAsia="Times New Roman" w:hAnsi="Times New Roman" w:cs="Times New Roman"/>
          </w:rPr>
          <w:t>)</w:t>
        </w:r>
      </w:hyperlink>
      <w:r w:rsidR="009669C5" w:rsidRPr="008C17AC">
        <w:rPr>
          <w:rStyle w:val="Hyperlink"/>
          <w:rFonts w:ascii="Times New Roman" w:eastAsia="Times New Roman" w:hAnsi="Times New Roman" w:cs="Times New Roman"/>
          <w:color w:val="auto"/>
        </w:rPr>
        <w:t>.</w:t>
      </w:r>
    </w:p>
    <w:p w14:paraId="53C92DD4" w14:textId="4FB5DB47" w:rsidR="009D0FED" w:rsidRPr="008C17AC" w:rsidRDefault="5AC3BCA1" w:rsidP="23EF21E2">
      <w:pPr>
        <w:spacing w:after="120" w:line="360" w:lineRule="auto"/>
        <w:ind w:right="-20"/>
        <w:rPr>
          <w:rFonts w:ascii="Times New Roman" w:eastAsia="Times New Roman" w:hAnsi="Times New Roman" w:cs="Times New Roman"/>
          <w:b/>
          <w:bCs/>
        </w:rPr>
      </w:pPr>
      <w:r w:rsidRPr="008C17AC">
        <w:rPr>
          <w:rFonts w:ascii="Times New Roman" w:eastAsia="Times New Roman" w:hAnsi="Times New Roman" w:cs="Times New Roman"/>
          <w:b/>
          <w:bCs/>
        </w:rPr>
        <w:t>Design</w:t>
      </w:r>
      <w:r w:rsidR="056DBC20" w:rsidRPr="008C17AC">
        <w:rPr>
          <w:rFonts w:ascii="Times New Roman" w:eastAsia="Times New Roman" w:hAnsi="Times New Roman" w:cs="Times New Roman"/>
          <w:b/>
          <w:bCs/>
        </w:rPr>
        <w:t>: Scoping review</w:t>
      </w:r>
    </w:p>
    <w:p w14:paraId="61A37021" w14:textId="6B4EB245" w:rsidR="0277F9C0" w:rsidRPr="008C17AC" w:rsidRDefault="2798E9DE" w:rsidP="00752A96">
      <w:pPr>
        <w:spacing w:after="120" w:line="360" w:lineRule="auto"/>
        <w:ind w:right="-20" w:firstLine="567"/>
        <w:rPr>
          <w:rFonts w:ascii="Times New Roman" w:eastAsia="Times New Roman" w:hAnsi="Times New Roman" w:cs="Times New Roman"/>
        </w:rPr>
      </w:pPr>
      <w:r w:rsidRPr="008C17AC">
        <w:rPr>
          <w:rFonts w:ascii="Times New Roman" w:eastAsia="Times New Roman" w:hAnsi="Times New Roman" w:cs="Times New Roman"/>
        </w:rPr>
        <w:t xml:space="preserve">Scoping reviews, also sometimes referred to as ‘mapping reviews’ or ‘scoping studies’ refer to an approach to evidence synthesis that are particularly helpful when the literature is complex and heterogeneous. They usually address broader review questions than traditionally more specific systematic reviews. </w:t>
      </w:r>
      <w:r w:rsidR="56B14C6D" w:rsidRPr="008C17AC">
        <w:rPr>
          <w:rFonts w:ascii="Times New Roman" w:eastAsia="Times New Roman" w:hAnsi="Times New Roman" w:cs="Times New Roman"/>
        </w:rPr>
        <w:t xml:space="preserve">As the notion of reproducibility and replicability varies across disciplines, we gathered a multidisciplinary team of authors and based the terms used throughout the scoping review on broad definitions taken from multiple texts and disciplines. </w:t>
      </w:r>
      <w:r w:rsidR="72A86394" w:rsidRPr="008C17AC">
        <w:rPr>
          <w:rFonts w:ascii="Times New Roman" w:eastAsia="Times New Roman" w:hAnsi="Times New Roman" w:cs="Times New Roman"/>
        </w:rPr>
        <w:t xml:space="preserve">We </w:t>
      </w:r>
      <w:r w:rsidR="2F173598" w:rsidRPr="008C17AC">
        <w:rPr>
          <w:rFonts w:ascii="Times New Roman" w:eastAsia="Times New Roman" w:hAnsi="Times New Roman" w:cs="Times New Roman"/>
        </w:rPr>
        <w:t xml:space="preserve">conducted the </w:t>
      </w:r>
      <w:r w:rsidR="43C8F6A5" w:rsidRPr="008C17AC">
        <w:rPr>
          <w:rFonts w:ascii="Times New Roman" w:eastAsia="Times New Roman" w:hAnsi="Times New Roman" w:cs="Times New Roman"/>
        </w:rPr>
        <w:t xml:space="preserve">scoping review following the </w:t>
      </w:r>
      <w:r w:rsidR="1DCB2C8D" w:rsidRPr="008C17AC">
        <w:rPr>
          <w:rFonts w:ascii="Times New Roman" w:eastAsia="Times New Roman" w:hAnsi="Times New Roman" w:cs="Times New Roman"/>
        </w:rPr>
        <w:t xml:space="preserve">guidance provided by the Joanna Briggs Institute and </w:t>
      </w:r>
      <w:r w:rsidR="6DEED9D4" w:rsidRPr="008C17AC">
        <w:rPr>
          <w:rFonts w:ascii="Times New Roman" w:eastAsia="Times New Roman" w:hAnsi="Times New Roman" w:cs="Times New Roman"/>
        </w:rPr>
        <w:t xml:space="preserve">we </w:t>
      </w:r>
      <w:r w:rsidR="72A86394" w:rsidRPr="008C17AC">
        <w:rPr>
          <w:rFonts w:ascii="Times New Roman" w:eastAsia="Times New Roman" w:hAnsi="Times New Roman" w:cs="Times New Roman"/>
        </w:rPr>
        <w:t xml:space="preserve">reported the scoping review </w:t>
      </w:r>
      <w:r w:rsidR="18185D5A" w:rsidRPr="008C17AC">
        <w:rPr>
          <w:rFonts w:ascii="Times New Roman" w:eastAsia="Times New Roman" w:hAnsi="Times New Roman" w:cs="Times New Roman"/>
        </w:rPr>
        <w:t>following</w:t>
      </w:r>
      <w:r w:rsidR="72A86394" w:rsidRPr="008C17AC">
        <w:rPr>
          <w:rFonts w:ascii="Times New Roman" w:eastAsia="Times New Roman" w:hAnsi="Times New Roman" w:cs="Times New Roman"/>
        </w:rPr>
        <w:t xml:space="preserve"> the Preferred Reporting Items for Systematic Reviews and Meta-Analyses: extension for Scoping Reviews (PRISMA-ScR) guidelines</w:t>
      </w:r>
      <w:r w:rsidR="292AEBE8" w:rsidRPr="008C17AC">
        <w:rPr>
          <w:rFonts w:ascii="Times New Roman" w:eastAsia="Times New Roman" w:hAnsi="Times New Roman" w:cs="Times New Roman"/>
        </w:rPr>
        <w:t xml:space="preserve"> (see Supplementary File 6)</w:t>
      </w:r>
      <w:r w:rsidR="72A86394" w:rsidRPr="008C17AC">
        <w:rPr>
          <w:rFonts w:ascii="Times New Roman" w:eastAsia="Times New Roman" w:hAnsi="Times New Roman" w:cs="Times New Roman"/>
        </w:rPr>
        <w:t xml:space="preserve"> </w:t>
      </w:r>
      <w:r w:rsidR="007809F4" w:rsidRPr="008C17AC">
        <w:rPr>
          <w:rFonts w:ascii="Times New Roman" w:eastAsia="Times New Roman" w:hAnsi="Times New Roman" w:cs="Times New Roman"/>
          <w:sz w:val="24"/>
          <w:szCs w:val="24"/>
        </w:rPr>
        <w:fldChar w:fldCharType="begin"/>
      </w:r>
      <w:r w:rsidR="007809F4" w:rsidRPr="008C17AC">
        <w:rPr>
          <w:rFonts w:ascii="Times New Roman" w:eastAsia="Times New Roman" w:hAnsi="Times New Roman" w:cs="Times New Roman"/>
          <w:sz w:val="24"/>
          <w:szCs w:val="24"/>
        </w:rPr>
        <w:instrText xml:space="preserve"> ADDIN ZOTERO_ITEM CSL_CITATION {"citationID":"KHTsTDC2","properties":{"formattedCitation":"[46]","plainCitation":"[46]","noteIndex":0},"citationItems":[{"id":28535,"uris":["http://zotero.org/groups/4983756/items/7TFTM7NU"],"itemData":{"id":28535,"type":"article-journal","abstract":"Objectives Methods Protocol and registration Eligibility criteria Information sources* Search Selection of sources of evidence† Data charting process‡ Data items Critical appraisal of individual sources of evidence§ Summary measures Synthesis of results Risk of bias across studies Additional analyses 3 Describe the rationale for the review in the context of what is already known. Explain why the review questions/objectives lend themselves to a scoping review approach. 4 Provide an explicit statement of the questions and objectives being addressed with reference to their key elements (e.g., population or participants, concepts, and context) or other relevant key elements used to conceptualize the review questions and/or objectives. 5 Indicate whether a review protocol exists; state if and where it can be accessed (e.g., a Web address); and if available, provide registration information, including the registration number. 6 Specify characteristics of the sources of evidence used as eligibility criteria (e.g., years considered, language, and publication status), and provide a rationale. 7 Describe all information sources in the search (e.g., databases with dates of coverage and contact with authors to identify additional sources), as well as the date the most recent search was executed. 8 Present the full electronic search strategy for at least 1 database, including any limits used, such that it could be repeated. 9 State the process for selecting sources of evidence (i.e., screening and eligibility) included in the scoping review. 10 Describe the methods of charting data from the included sources of evidence (e.g., calibrated forms or forms that have been tested by the team before their use, and whether data charting was done independently or in duplicate) and any processes for obtaining and conﬁrming data from investigators. 11 List and deﬁne all variables for which data were sought and any assumptions and simpliﬁcations made. 12 If done, provide a rationale for conducting a critical appraisal of included sources of evidence; describe the methods used and how this information was used in any data synthesis (if appropriate). 13 Not applicable for scoping reviews. 14 Describe the methods of handling and summarizing the data that were charted. 15 Not applicable for scoping reviews. 16 Not applicable for scoping reviews. Results Selection of sources of evidence 17 Characteristics of sources of evidence 18 Critical appraisal within sources of evidence 19\nResults of individual sources of evidence 20 Synthesis of results 21 Risk of bias across studies 22 Additional analyses 23 Give numbers of sources of evidence screened, assessed for eligibility, and included in the review, with reasons for exclusions at each stage, ideally using a ﬂow diagram. For each source of evidence, present characteristics for which data were charted and provide the citations. If done, present data on critical appraisal of included sources of evidence (see item 12). For each included source of evidence, present the relevant data that were charted that relate to the review questions and objectives. Summarize and/or present the charting results as they relate to the review questions and objectives. Not applicable for scoping reviews. Not applicable for scoping reviews. Discussion Summary of evidence Limitations\nConclusions","container-title":"Annals of Internal Medicine","DOI":"10.7326/M18-0850","ISSN":"0003-4819, 1539-3704","issue":"7","journalAbbreviation":"Ann Intern Med","language":"en","page":"467-473","source":"DOI.org (Crossref)","title":"PRISMA Extension for Scoping Reviews (PRISMA-ScR): Checklist and Explanation","title-short":"PRISMA Extension for Scoping Reviews (PRISMA-ScR)","volume":"169","author":[{"family":"Tricco","given":"Andrea C."},{"family":"Lillie","given":"Erin"},{"family":"Zarin","given":"Wasifa"},{"family":"O'Brien","given":"Kelly K."},{"family":"Colquhoun","given":"Heather"},{"family":"Levac","given":"Danielle"},{"family":"Moher","given":"David"},{"family":"Peters","given":"Micah D.J."},{"family":"Horsley","given":"Tanya"},{"family":"Weeks","given":"Laura"},{"family":"Hempel","given":"Susanne"},{"family":"Akl","given":"Elie A."},{"family":"Chang","given":"Christine"},{"family":"McGowan","given":"Jessie"},{"family":"Stewart","given":"Lesley"},{"family":"Hartling","given":"Lisa"},{"family":"Aldcroft","given":"Adrian"},{"family":"Wilson","given":"Michael G."},{"family":"Garritty","given":"Chantelle"},{"family":"Lewin","given":"Simon"},{"family":"Godfrey","given":"Christina M."},{"family":"Macdonald","given":"Marilyn T."},{"family":"Langlois","given":"Etienne V."},{"family":"Soares-Weiser","given":"Karla"},{"family":"Moriarty","given":"Jo"},{"family":"Clifford","given":"Tammy"},{"family":"Tunçalp","given":"Özge"},{"family":"Straus","given":"Sharon E."}],"issued":{"date-parts":[["2018",10,2]]}}}],"schema":"https://github.com/citation-style-language/schema/raw/master/csl-citation.json"} </w:instrText>
      </w:r>
      <w:r w:rsidR="007809F4" w:rsidRPr="008C17AC">
        <w:rPr>
          <w:rFonts w:ascii="Times New Roman" w:eastAsia="Times New Roman" w:hAnsi="Times New Roman" w:cs="Times New Roman"/>
          <w:sz w:val="24"/>
          <w:szCs w:val="24"/>
        </w:rPr>
        <w:fldChar w:fldCharType="separate"/>
      </w:r>
      <w:r w:rsidR="0B09573F" w:rsidRPr="008C17AC">
        <w:rPr>
          <w:rFonts w:ascii="Times New Roman" w:hAnsi="Times New Roman" w:cs="Times New Roman"/>
        </w:rPr>
        <w:t>[46]</w:t>
      </w:r>
      <w:r w:rsidR="007809F4" w:rsidRPr="008C17AC">
        <w:rPr>
          <w:rFonts w:ascii="Times New Roman" w:eastAsia="Times New Roman" w:hAnsi="Times New Roman" w:cs="Times New Roman"/>
          <w:sz w:val="24"/>
          <w:szCs w:val="24"/>
        </w:rPr>
        <w:fldChar w:fldCharType="end"/>
      </w:r>
      <w:r w:rsidR="72A86394" w:rsidRPr="008C17AC">
        <w:rPr>
          <w:rFonts w:ascii="Times New Roman" w:eastAsia="Times New Roman" w:hAnsi="Times New Roman" w:cs="Times New Roman"/>
        </w:rPr>
        <w:t>.</w:t>
      </w:r>
    </w:p>
    <w:p w14:paraId="6D897753" w14:textId="08F825B1" w:rsidR="5FDA469C" w:rsidRPr="008C17AC" w:rsidRDefault="16323652" w:rsidP="23EF21E2">
      <w:pPr>
        <w:spacing w:after="120" w:line="360" w:lineRule="auto"/>
        <w:ind w:right="-20" w:firstLine="567"/>
        <w:rPr>
          <w:rFonts w:ascii="Times New Roman" w:eastAsia="Times New Roman" w:hAnsi="Times New Roman" w:cs="Times New Roman"/>
        </w:rPr>
      </w:pPr>
      <w:r w:rsidRPr="008C17AC">
        <w:rPr>
          <w:rFonts w:ascii="Times New Roman" w:eastAsia="Times New Roman" w:hAnsi="Times New Roman" w:cs="Times New Roman"/>
        </w:rPr>
        <w:lastRenderedPageBreak/>
        <w:t xml:space="preserve"> </w:t>
      </w:r>
    </w:p>
    <w:p w14:paraId="356FFD70" w14:textId="67C73492" w:rsidR="009D0FED" w:rsidRPr="008C17AC" w:rsidRDefault="5AC3BCA1" w:rsidP="23EF21E2">
      <w:pPr>
        <w:spacing w:after="120" w:line="360" w:lineRule="auto"/>
        <w:ind w:right="-20"/>
        <w:rPr>
          <w:rFonts w:ascii="Times New Roman" w:eastAsia="Times New Roman" w:hAnsi="Times New Roman" w:cs="Times New Roman"/>
          <w:b/>
          <w:bCs/>
        </w:rPr>
      </w:pPr>
      <w:r w:rsidRPr="008C17AC">
        <w:rPr>
          <w:rFonts w:ascii="Times New Roman" w:eastAsia="Times New Roman" w:hAnsi="Times New Roman" w:cs="Times New Roman"/>
          <w:b/>
          <w:bCs/>
        </w:rPr>
        <w:t>Eligibility criteria</w:t>
      </w:r>
    </w:p>
    <w:p w14:paraId="65F38B41" w14:textId="49B46DF2" w:rsidR="12051B16" w:rsidRPr="008C17AC" w:rsidRDefault="75ACED02" w:rsidP="23EF21E2">
      <w:pPr>
        <w:spacing w:after="120" w:line="360" w:lineRule="auto"/>
        <w:ind w:right="-20"/>
        <w:rPr>
          <w:rFonts w:ascii="Times New Roman" w:eastAsia="Times New Roman" w:hAnsi="Times New Roman" w:cs="Times New Roman"/>
          <w:b/>
          <w:bCs/>
        </w:rPr>
      </w:pPr>
      <w:r w:rsidRPr="008C17AC">
        <w:rPr>
          <w:rFonts w:ascii="Times New Roman" w:eastAsia="Times New Roman" w:hAnsi="Times New Roman" w:cs="Times New Roman"/>
          <w:b/>
          <w:bCs/>
        </w:rPr>
        <w:t>Study designs</w:t>
      </w:r>
    </w:p>
    <w:p w14:paraId="1E2A4E9B" w14:textId="37458B2D" w:rsidR="3AF1CB0E" w:rsidRPr="008C17AC" w:rsidRDefault="00083D61" w:rsidP="23EF21E2">
      <w:pPr>
        <w:spacing w:after="120" w:line="360" w:lineRule="auto"/>
        <w:ind w:right="-20" w:firstLine="567"/>
        <w:rPr>
          <w:rFonts w:ascii="Times New Roman" w:eastAsia="Times New Roman" w:hAnsi="Times New Roman" w:cs="Times New Roman"/>
        </w:rPr>
      </w:pPr>
      <w:r w:rsidRPr="008C17AC">
        <w:rPr>
          <w:rFonts w:ascii="Times New Roman" w:eastAsia="Times New Roman" w:hAnsi="Times New Roman" w:cs="Times New Roman"/>
        </w:rPr>
        <w:t xml:space="preserve">We included </w:t>
      </w:r>
      <w:r w:rsidR="18E0157D" w:rsidRPr="008C17AC">
        <w:rPr>
          <w:rFonts w:ascii="Times New Roman" w:eastAsia="Times New Roman" w:hAnsi="Times New Roman" w:cs="Times New Roman"/>
        </w:rPr>
        <w:t xml:space="preserve">studies </w:t>
      </w:r>
      <w:r w:rsidRPr="008C17AC">
        <w:rPr>
          <w:rFonts w:ascii="Times New Roman" w:eastAsia="Times New Roman" w:hAnsi="Times New Roman" w:cs="Times New Roman"/>
        </w:rPr>
        <w:t>evaluating the effectiveness of intervention</w:t>
      </w:r>
      <w:r w:rsidR="6BF89E4C" w:rsidRPr="008C17AC">
        <w:rPr>
          <w:rFonts w:ascii="Times New Roman" w:eastAsia="Times New Roman" w:hAnsi="Times New Roman" w:cs="Times New Roman"/>
        </w:rPr>
        <w:t>s aimed at enhancing</w:t>
      </w:r>
      <w:r w:rsidRPr="008C17AC">
        <w:rPr>
          <w:rFonts w:ascii="Times New Roman" w:eastAsia="Times New Roman" w:hAnsi="Times New Roman" w:cs="Times New Roman"/>
        </w:rPr>
        <w:t xml:space="preserve"> </w:t>
      </w:r>
      <w:r w:rsidR="3058A41C" w:rsidRPr="008C17AC">
        <w:rPr>
          <w:rFonts w:ascii="Times New Roman" w:eastAsia="Times New Roman" w:hAnsi="Times New Roman" w:cs="Times New Roman"/>
        </w:rPr>
        <w:t>the</w:t>
      </w:r>
      <w:r w:rsidRPr="008C17AC">
        <w:rPr>
          <w:rFonts w:ascii="Times New Roman" w:eastAsia="Times New Roman" w:hAnsi="Times New Roman" w:cs="Times New Roman"/>
        </w:rPr>
        <w:t xml:space="preserve"> reproducibility or replicability of scientific </w:t>
      </w:r>
      <w:r w:rsidR="2E78AE31" w:rsidRPr="008C17AC">
        <w:rPr>
          <w:rFonts w:ascii="Times New Roman" w:eastAsia="Times New Roman" w:hAnsi="Times New Roman" w:cs="Times New Roman"/>
        </w:rPr>
        <w:t xml:space="preserve">methods and </w:t>
      </w:r>
      <w:r w:rsidRPr="008C17AC">
        <w:rPr>
          <w:rFonts w:ascii="Times New Roman" w:eastAsia="Times New Roman" w:hAnsi="Times New Roman" w:cs="Times New Roman"/>
        </w:rPr>
        <w:t>findings</w:t>
      </w:r>
      <w:r w:rsidR="60160428" w:rsidRPr="008C17AC">
        <w:rPr>
          <w:rFonts w:ascii="Times New Roman" w:eastAsia="Times New Roman" w:hAnsi="Times New Roman" w:cs="Times New Roman"/>
        </w:rPr>
        <w:t xml:space="preserve"> in a comparative design</w:t>
      </w:r>
      <w:r w:rsidR="5F99EFE1" w:rsidRPr="008C17AC">
        <w:rPr>
          <w:rFonts w:ascii="Times New Roman" w:eastAsia="Times New Roman" w:hAnsi="Times New Roman" w:cs="Times New Roman"/>
        </w:rPr>
        <w:t>.</w:t>
      </w:r>
      <w:r w:rsidR="72C4346E" w:rsidRPr="008C17AC">
        <w:rPr>
          <w:rFonts w:ascii="Times New Roman" w:eastAsia="Times New Roman" w:hAnsi="Times New Roman" w:cs="Times New Roman"/>
        </w:rPr>
        <w:t xml:space="preserve"> </w:t>
      </w:r>
      <w:r w:rsidR="4F372250" w:rsidRPr="008C17AC">
        <w:rPr>
          <w:rFonts w:ascii="Times New Roman" w:eastAsia="Times New Roman" w:hAnsi="Times New Roman" w:cs="Times New Roman"/>
        </w:rPr>
        <w:t>These</w:t>
      </w:r>
      <w:r w:rsidR="55CE77A4" w:rsidRPr="008C17AC">
        <w:rPr>
          <w:rFonts w:ascii="Times New Roman" w:eastAsia="Times New Roman" w:hAnsi="Times New Roman" w:cs="Times New Roman"/>
        </w:rPr>
        <w:t xml:space="preserve"> could be either </w:t>
      </w:r>
      <w:r w:rsidR="7B27BC43" w:rsidRPr="008C17AC">
        <w:rPr>
          <w:rFonts w:ascii="Times New Roman" w:eastAsia="Times New Roman" w:hAnsi="Times New Roman" w:cs="Times New Roman"/>
        </w:rPr>
        <w:t>between</w:t>
      </w:r>
      <w:r w:rsidR="53374B96" w:rsidRPr="008C17AC">
        <w:rPr>
          <w:rFonts w:ascii="Times New Roman" w:eastAsia="Times New Roman" w:hAnsi="Times New Roman" w:cs="Times New Roman"/>
        </w:rPr>
        <w:t>-</w:t>
      </w:r>
      <w:r w:rsidR="7B27BC43" w:rsidRPr="008C17AC">
        <w:rPr>
          <w:rFonts w:ascii="Times New Roman" w:eastAsia="Times New Roman" w:hAnsi="Times New Roman" w:cs="Times New Roman"/>
        </w:rPr>
        <w:t>subject or within</w:t>
      </w:r>
      <w:r w:rsidR="6886B219" w:rsidRPr="008C17AC">
        <w:rPr>
          <w:rFonts w:ascii="Times New Roman" w:eastAsia="Times New Roman" w:hAnsi="Times New Roman" w:cs="Times New Roman"/>
        </w:rPr>
        <w:t>-</w:t>
      </w:r>
      <w:r w:rsidR="7B27BC43" w:rsidRPr="008C17AC">
        <w:rPr>
          <w:rFonts w:ascii="Times New Roman" w:eastAsia="Times New Roman" w:hAnsi="Times New Roman" w:cs="Times New Roman"/>
        </w:rPr>
        <w:t xml:space="preserve">subject comparisons. </w:t>
      </w:r>
      <w:r w:rsidR="10C11630" w:rsidRPr="008C17AC">
        <w:rPr>
          <w:rFonts w:ascii="Times New Roman" w:eastAsia="Times New Roman" w:hAnsi="Times New Roman" w:cs="Times New Roman"/>
        </w:rPr>
        <w:t xml:space="preserve">Non-comparative studies </w:t>
      </w:r>
      <w:r w:rsidR="52AF9F2A" w:rsidRPr="008C17AC">
        <w:rPr>
          <w:rFonts w:ascii="Times New Roman" w:eastAsia="Times New Roman" w:hAnsi="Times New Roman" w:cs="Times New Roman"/>
        </w:rPr>
        <w:t xml:space="preserve">were only included if </w:t>
      </w:r>
      <w:r w:rsidR="526D9744" w:rsidRPr="008C17AC">
        <w:rPr>
          <w:rFonts w:ascii="Times New Roman" w:eastAsia="Times New Roman" w:hAnsi="Times New Roman" w:cs="Times New Roman"/>
        </w:rPr>
        <w:t xml:space="preserve">the introduction of </w:t>
      </w:r>
      <w:r w:rsidR="52AF9F2A" w:rsidRPr="008C17AC">
        <w:rPr>
          <w:rFonts w:ascii="Times New Roman" w:eastAsia="Times New Roman" w:hAnsi="Times New Roman" w:cs="Times New Roman"/>
        </w:rPr>
        <w:t>a</w:t>
      </w:r>
      <w:r w:rsidR="72BAF305" w:rsidRPr="008C17AC">
        <w:rPr>
          <w:rFonts w:ascii="Times New Roman" w:eastAsia="Times New Roman" w:hAnsi="Times New Roman" w:cs="Times New Roman"/>
        </w:rPr>
        <w:t>n</w:t>
      </w:r>
      <w:r w:rsidR="6B134285" w:rsidRPr="008C17AC">
        <w:rPr>
          <w:rFonts w:ascii="Times New Roman" w:eastAsia="Times New Roman" w:hAnsi="Times New Roman" w:cs="Times New Roman"/>
        </w:rPr>
        <w:t xml:space="preserve"> intervention was explicitly stated</w:t>
      </w:r>
      <w:r w:rsidR="30CC542D" w:rsidRPr="008C17AC">
        <w:rPr>
          <w:rFonts w:ascii="Times New Roman" w:eastAsia="Times New Roman" w:hAnsi="Times New Roman" w:cs="Times New Roman"/>
        </w:rPr>
        <w:t xml:space="preserve"> (e.g. post-intervention study</w:t>
      </w:r>
      <w:r w:rsidR="35DBFA1B" w:rsidRPr="008C17AC">
        <w:rPr>
          <w:rFonts w:ascii="Times New Roman" w:eastAsia="Times New Roman" w:hAnsi="Times New Roman" w:cs="Times New Roman"/>
        </w:rPr>
        <w:t xml:space="preserve"> reporting </w:t>
      </w:r>
      <w:r w:rsidR="5FA91E9F" w:rsidRPr="008C17AC">
        <w:rPr>
          <w:rFonts w:ascii="Times New Roman" w:eastAsia="Times New Roman" w:hAnsi="Times New Roman" w:cs="Times New Roman"/>
        </w:rPr>
        <w:t xml:space="preserve">the </w:t>
      </w:r>
      <w:r w:rsidR="3AF83350" w:rsidRPr="008C17AC">
        <w:rPr>
          <w:rFonts w:ascii="Times New Roman" w:eastAsia="Times New Roman" w:hAnsi="Times New Roman" w:cs="Times New Roman"/>
        </w:rPr>
        <w:t xml:space="preserve">level of reproducibility </w:t>
      </w:r>
      <w:r w:rsidR="5FA91E9F" w:rsidRPr="008C17AC">
        <w:rPr>
          <w:rFonts w:ascii="Times New Roman" w:eastAsia="Times New Roman" w:hAnsi="Times New Roman" w:cs="Times New Roman"/>
        </w:rPr>
        <w:t>after the implementation of a guideline</w:t>
      </w:r>
      <w:r w:rsidR="2203B054" w:rsidRPr="008C17AC">
        <w:rPr>
          <w:rFonts w:ascii="Times New Roman" w:eastAsia="Times New Roman" w:hAnsi="Times New Roman" w:cs="Times New Roman"/>
        </w:rPr>
        <w:t>)</w:t>
      </w:r>
      <w:r w:rsidR="37DD60AA" w:rsidRPr="008C17AC">
        <w:rPr>
          <w:rFonts w:ascii="Times New Roman" w:eastAsia="Times New Roman" w:hAnsi="Times New Roman" w:cs="Times New Roman"/>
        </w:rPr>
        <w:t xml:space="preserve">. </w:t>
      </w:r>
      <w:r w:rsidR="711AFA5B" w:rsidRPr="008C17AC">
        <w:rPr>
          <w:rFonts w:ascii="Times New Roman" w:eastAsia="Times New Roman" w:hAnsi="Times New Roman" w:cs="Times New Roman"/>
        </w:rPr>
        <w:t xml:space="preserve">Studies </w:t>
      </w:r>
      <w:r w:rsidR="3D1912B5" w:rsidRPr="008C17AC">
        <w:rPr>
          <w:rFonts w:ascii="Times New Roman" w:eastAsia="Times New Roman" w:hAnsi="Times New Roman" w:cs="Times New Roman"/>
        </w:rPr>
        <w:t>that only report</w:t>
      </w:r>
      <w:r w:rsidR="711AFA5B" w:rsidRPr="008C17AC">
        <w:rPr>
          <w:rFonts w:ascii="Times New Roman" w:eastAsia="Times New Roman" w:hAnsi="Times New Roman" w:cs="Times New Roman"/>
        </w:rPr>
        <w:t xml:space="preserve"> the prevalence of </w:t>
      </w:r>
      <w:r w:rsidR="569B0D8F" w:rsidRPr="008C17AC">
        <w:rPr>
          <w:rFonts w:ascii="Times New Roman" w:eastAsia="Times New Roman" w:hAnsi="Times New Roman" w:cs="Times New Roman"/>
        </w:rPr>
        <w:t>a</w:t>
      </w:r>
      <w:r w:rsidR="76601D00" w:rsidRPr="008C17AC">
        <w:rPr>
          <w:rFonts w:ascii="Times New Roman" w:eastAsia="Times New Roman" w:hAnsi="Times New Roman" w:cs="Times New Roman"/>
        </w:rPr>
        <w:t>n intervention</w:t>
      </w:r>
      <w:r w:rsidR="738ED019" w:rsidRPr="008C17AC">
        <w:rPr>
          <w:rFonts w:ascii="Times New Roman" w:eastAsia="Times New Roman" w:hAnsi="Times New Roman" w:cs="Times New Roman"/>
        </w:rPr>
        <w:t xml:space="preserve"> (e.g., measuring only the amount of preregistrat</w:t>
      </w:r>
      <w:r w:rsidR="23FCEE87" w:rsidRPr="008C17AC">
        <w:rPr>
          <w:rFonts w:ascii="Times New Roman" w:eastAsia="Times New Roman" w:hAnsi="Times New Roman" w:cs="Times New Roman"/>
        </w:rPr>
        <w:t>i</w:t>
      </w:r>
      <w:r w:rsidR="738ED019" w:rsidRPr="008C17AC">
        <w:rPr>
          <w:rFonts w:ascii="Times New Roman" w:eastAsia="Times New Roman" w:hAnsi="Times New Roman" w:cs="Times New Roman"/>
        </w:rPr>
        <w:t>on in a field)</w:t>
      </w:r>
      <w:r w:rsidR="711AFA5B" w:rsidRPr="008C17AC">
        <w:rPr>
          <w:rFonts w:ascii="Times New Roman" w:eastAsia="Times New Roman" w:hAnsi="Times New Roman" w:cs="Times New Roman"/>
        </w:rPr>
        <w:t xml:space="preserve"> </w:t>
      </w:r>
      <w:r w:rsidR="2F9FC772" w:rsidRPr="008C17AC">
        <w:rPr>
          <w:rFonts w:ascii="Times New Roman" w:eastAsia="Times New Roman" w:hAnsi="Times New Roman" w:cs="Times New Roman"/>
        </w:rPr>
        <w:t>we</w:t>
      </w:r>
      <w:r w:rsidR="711AFA5B" w:rsidRPr="008C17AC">
        <w:rPr>
          <w:rFonts w:ascii="Times New Roman" w:eastAsia="Times New Roman" w:hAnsi="Times New Roman" w:cs="Times New Roman"/>
        </w:rPr>
        <w:t xml:space="preserve">re not included. </w:t>
      </w:r>
    </w:p>
    <w:p w14:paraId="2667728D" w14:textId="79810C42" w:rsidR="3AF1CB0E" w:rsidRPr="008C17AC" w:rsidRDefault="1B545655" w:rsidP="23EF21E2">
      <w:pPr>
        <w:spacing w:after="120" w:line="360" w:lineRule="auto"/>
        <w:ind w:right="-20" w:firstLine="567"/>
        <w:rPr>
          <w:rFonts w:ascii="Times New Roman" w:eastAsia="Times New Roman" w:hAnsi="Times New Roman" w:cs="Times New Roman"/>
        </w:rPr>
      </w:pPr>
      <w:r w:rsidRPr="008C17AC">
        <w:rPr>
          <w:rFonts w:ascii="Times New Roman" w:eastAsia="Times New Roman" w:hAnsi="Times New Roman" w:cs="Times New Roman"/>
        </w:rPr>
        <w:t>We excluded studies if they did not test an intervention; if the full text was unavailable; and if the article did not report primary resources, such as Stage 1 registered reports or position papers.</w:t>
      </w:r>
      <w:r w:rsidR="00050858" w:rsidRPr="008C17AC">
        <w:rPr>
          <w:rFonts w:ascii="Times New Roman" w:eastAsia="Times New Roman" w:hAnsi="Times New Roman" w:cs="Times New Roman"/>
        </w:rPr>
        <w:t xml:space="preserve"> We also excluded </w:t>
      </w:r>
      <w:r w:rsidR="000F2F1A" w:rsidRPr="008C17AC">
        <w:rPr>
          <w:rFonts w:ascii="Times New Roman" w:eastAsia="Times New Roman" w:hAnsi="Times New Roman" w:cs="Times New Roman"/>
        </w:rPr>
        <w:t xml:space="preserve">studies that investigated </w:t>
      </w:r>
      <w:r w:rsidR="00DD3BA6" w:rsidRPr="008C17AC">
        <w:rPr>
          <w:rFonts w:ascii="Times New Roman" w:eastAsia="Times New Roman" w:hAnsi="Times New Roman" w:cs="Times New Roman"/>
        </w:rPr>
        <w:t xml:space="preserve">agreement in test results between </w:t>
      </w:r>
      <w:r w:rsidR="000B1A62" w:rsidRPr="008C17AC">
        <w:rPr>
          <w:rFonts w:ascii="Times New Roman" w:eastAsia="Times New Roman" w:hAnsi="Times New Roman" w:cs="Times New Roman"/>
        </w:rPr>
        <w:t>observers or laboratories, which is also sometimes referred to as reproducibility of test results.</w:t>
      </w:r>
      <w:r w:rsidRPr="008C17AC">
        <w:rPr>
          <w:rFonts w:ascii="Times New Roman" w:eastAsia="Times New Roman" w:hAnsi="Times New Roman" w:cs="Times New Roman"/>
        </w:rPr>
        <w:t xml:space="preserve"> </w:t>
      </w:r>
    </w:p>
    <w:p w14:paraId="5544982E" w14:textId="3C44559D" w:rsidR="3AF1CB0E" w:rsidRPr="008C17AC" w:rsidRDefault="7F7D0AA3" w:rsidP="000B1A62">
      <w:pPr>
        <w:spacing w:after="120" w:line="360" w:lineRule="auto"/>
        <w:ind w:right="-20"/>
        <w:rPr>
          <w:rFonts w:ascii="Times New Roman" w:eastAsia="Times New Roman" w:hAnsi="Times New Roman" w:cs="Times New Roman"/>
        </w:rPr>
      </w:pPr>
      <w:r w:rsidRPr="008C17AC">
        <w:rPr>
          <w:rFonts w:ascii="Times New Roman" w:eastAsia="Times New Roman" w:hAnsi="Times New Roman" w:cs="Times New Roman"/>
          <w:b/>
          <w:bCs/>
        </w:rPr>
        <w:t>Article Types</w:t>
      </w:r>
    </w:p>
    <w:p w14:paraId="2B1224F9" w14:textId="6AD4B42A" w:rsidR="3AF1CB0E" w:rsidRPr="008C17AC" w:rsidRDefault="54A80563" w:rsidP="23EF21E2">
      <w:pPr>
        <w:spacing w:after="120" w:line="360" w:lineRule="auto"/>
        <w:ind w:right="-20" w:firstLine="567"/>
        <w:rPr>
          <w:rFonts w:ascii="Times New Roman" w:eastAsia="Times New Roman" w:hAnsi="Times New Roman" w:cs="Times New Roman"/>
        </w:rPr>
      </w:pPr>
      <w:r w:rsidRPr="008C17AC">
        <w:rPr>
          <w:rFonts w:ascii="Times New Roman" w:eastAsia="Times New Roman" w:hAnsi="Times New Roman" w:cs="Times New Roman"/>
        </w:rPr>
        <w:t>We included any article type</w:t>
      </w:r>
      <w:r w:rsidR="4877CEF7" w:rsidRPr="008C17AC">
        <w:rPr>
          <w:rFonts w:ascii="Times New Roman" w:eastAsia="Times New Roman" w:hAnsi="Times New Roman" w:cs="Times New Roman"/>
        </w:rPr>
        <w:t xml:space="preserve"> containing</w:t>
      </w:r>
      <w:r w:rsidRPr="008C17AC">
        <w:rPr>
          <w:rFonts w:ascii="Times New Roman" w:eastAsia="Times New Roman" w:hAnsi="Times New Roman" w:cs="Times New Roman"/>
        </w:rPr>
        <w:t xml:space="preserve"> primary data</w:t>
      </w:r>
      <w:r w:rsidR="1B7B266F" w:rsidRPr="008C17AC">
        <w:rPr>
          <w:rFonts w:ascii="Times New Roman" w:eastAsia="Times New Roman" w:hAnsi="Times New Roman" w:cs="Times New Roman"/>
        </w:rPr>
        <w:t>,</w:t>
      </w:r>
      <w:r w:rsidR="047B19A5" w:rsidRPr="008C17AC">
        <w:rPr>
          <w:rFonts w:ascii="Times New Roman" w:eastAsia="Times New Roman" w:hAnsi="Times New Roman" w:cs="Times New Roman"/>
        </w:rPr>
        <w:t xml:space="preserve"> including</w:t>
      </w:r>
      <w:r w:rsidRPr="008C17AC">
        <w:rPr>
          <w:rFonts w:ascii="Times New Roman" w:eastAsia="Times New Roman" w:hAnsi="Times New Roman" w:cs="Times New Roman"/>
        </w:rPr>
        <w:t xml:space="preserve"> peer reviewed original articles, early access papers and </w:t>
      </w:r>
      <w:r w:rsidR="30855ED0" w:rsidRPr="008C17AC">
        <w:rPr>
          <w:rFonts w:ascii="Times New Roman" w:eastAsia="Times New Roman" w:hAnsi="Times New Roman" w:cs="Times New Roman"/>
        </w:rPr>
        <w:t xml:space="preserve">preprints. </w:t>
      </w:r>
      <w:r w:rsidR="3930D972" w:rsidRPr="008C17AC">
        <w:rPr>
          <w:rFonts w:ascii="Times New Roman" w:eastAsia="Times New Roman" w:hAnsi="Times New Roman" w:cs="Times New Roman"/>
        </w:rPr>
        <w:t>Position papers, study protocols,</w:t>
      </w:r>
      <w:r w:rsidR="40EB9F11" w:rsidRPr="008C17AC">
        <w:rPr>
          <w:rFonts w:ascii="Times New Roman" w:eastAsia="Times New Roman" w:hAnsi="Times New Roman" w:cs="Times New Roman"/>
        </w:rPr>
        <w:t xml:space="preserve"> editorials</w:t>
      </w:r>
      <w:r w:rsidR="3930D972" w:rsidRPr="008C17AC">
        <w:rPr>
          <w:rFonts w:ascii="Times New Roman" w:eastAsia="Times New Roman" w:hAnsi="Times New Roman" w:cs="Times New Roman"/>
        </w:rPr>
        <w:t xml:space="preserve"> and </w:t>
      </w:r>
      <w:r w:rsidR="1691616C" w:rsidRPr="008C17AC">
        <w:rPr>
          <w:rFonts w:ascii="Times New Roman" w:eastAsia="Times New Roman" w:hAnsi="Times New Roman" w:cs="Times New Roman"/>
        </w:rPr>
        <w:t xml:space="preserve">any </w:t>
      </w:r>
      <w:r w:rsidR="3930D972" w:rsidRPr="008C17AC">
        <w:rPr>
          <w:rFonts w:ascii="Times New Roman" w:eastAsia="Times New Roman" w:hAnsi="Times New Roman" w:cs="Times New Roman"/>
        </w:rPr>
        <w:t xml:space="preserve">other articles </w:t>
      </w:r>
      <w:r w:rsidR="7C170862" w:rsidRPr="008C17AC">
        <w:rPr>
          <w:rFonts w:ascii="Times New Roman" w:eastAsia="Times New Roman" w:hAnsi="Times New Roman" w:cs="Times New Roman"/>
        </w:rPr>
        <w:t>lacking</w:t>
      </w:r>
      <w:r w:rsidR="3930D972" w:rsidRPr="008C17AC">
        <w:rPr>
          <w:rFonts w:ascii="Times New Roman" w:eastAsia="Times New Roman" w:hAnsi="Times New Roman" w:cs="Times New Roman"/>
        </w:rPr>
        <w:t xml:space="preserve"> primary data were excluded. </w:t>
      </w:r>
      <w:r w:rsidR="019FF139" w:rsidRPr="008C17AC">
        <w:rPr>
          <w:rFonts w:ascii="Times New Roman" w:eastAsia="Times New Roman" w:hAnsi="Times New Roman" w:cs="Times New Roman"/>
        </w:rPr>
        <w:t>Reviews were also excluded</w:t>
      </w:r>
      <w:r w:rsidR="6CAD2354" w:rsidRPr="008C17AC">
        <w:rPr>
          <w:rFonts w:ascii="Times New Roman" w:eastAsia="Times New Roman" w:hAnsi="Times New Roman" w:cs="Times New Roman"/>
        </w:rPr>
        <w:t xml:space="preserve"> from our final synthesis</w:t>
      </w:r>
      <w:r w:rsidR="019FF139" w:rsidRPr="008C17AC">
        <w:rPr>
          <w:rFonts w:ascii="Times New Roman" w:eastAsia="Times New Roman" w:hAnsi="Times New Roman" w:cs="Times New Roman"/>
        </w:rPr>
        <w:t xml:space="preserve">, but their reference lists were checked for additional relevant publications. </w:t>
      </w:r>
      <w:r w:rsidR="07E3B100" w:rsidRPr="008C17AC">
        <w:rPr>
          <w:rFonts w:ascii="Times New Roman" w:eastAsia="Times New Roman" w:hAnsi="Times New Roman" w:cs="Times New Roman"/>
        </w:rPr>
        <w:t>We used Zotero reference management software to check for any retracted studies within our corpus of articles (none were found).</w:t>
      </w:r>
    </w:p>
    <w:p w14:paraId="57EAAD75" w14:textId="2B116704" w:rsidR="009D0FED" w:rsidRPr="008C17AC" w:rsidRDefault="57646C9F" w:rsidP="23EF21E2">
      <w:pPr>
        <w:spacing w:after="120" w:line="360" w:lineRule="auto"/>
        <w:ind w:right="-20" w:firstLine="567"/>
        <w:rPr>
          <w:rFonts w:ascii="Times New Roman" w:eastAsia="Times New Roman" w:hAnsi="Times New Roman" w:cs="Times New Roman"/>
        </w:rPr>
      </w:pPr>
      <w:r w:rsidRPr="008C17AC">
        <w:rPr>
          <w:rFonts w:ascii="Times New Roman" w:eastAsia="Times New Roman" w:hAnsi="Times New Roman" w:cs="Times New Roman"/>
          <w:b/>
          <w:bCs/>
        </w:rPr>
        <w:t>Participants</w:t>
      </w:r>
    </w:p>
    <w:p w14:paraId="3B940B55" w14:textId="6411226F" w:rsidR="00974DC7" w:rsidRPr="008C17AC" w:rsidRDefault="23F42092" w:rsidP="23EF21E2">
      <w:pPr>
        <w:spacing w:after="120" w:line="360" w:lineRule="auto"/>
        <w:ind w:right="-20" w:firstLine="567"/>
        <w:rPr>
          <w:rFonts w:ascii="Times New Roman" w:eastAsia="Times New Roman" w:hAnsi="Times New Roman" w:cs="Times New Roman"/>
        </w:rPr>
      </w:pPr>
      <w:r w:rsidRPr="008C17AC">
        <w:rPr>
          <w:rFonts w:ascii="Times New Roman" w:eastAsia="Times New Roman" w:hAnsi="Times New Roman" w:cs="Times New Roman"/>
        </w:rPr>
        <w:t>Participants</w:t>
      </w:r>
      <w:r w:rsidR="157E3B20" w:rsidRPr="008C17AC">
        <w:rPr>
          <w:rFonts w:ascii="Times New Roman" w:eastAsia="Times New Roman" w:hAnsi="Times New Roman" w:cs="Times New Roman"/>
        </w:rPr>
        <w:t xml:space="preserve"> in eligible studies</w:t>
      </w:r>
      <w:r w:rsidRPr="008C17AC">
        <w:rPr>
          <w:rFonts w:ascii="Times New Roman" w:eastAsia="Times New Roman" w:hAnsi="Times New Roman" w:cs="Times New Roman"/>
        </w:rPr>
        <w:t xml:space="preserve"> could be researchers of any career level</w:t>
      </w:r>
      <w:r w:rsidR="47446232" w:rsidRPr="008C17AC">
        <w:rPr>
          <w:rFonts w:ascii="Times New Roman" w:eastAsia="Times New Roman" w:hAnsi="Times New Roman" w:cs="Times New Roman"/>
        </w:rPr>
        <w:t xml:space="preserve">, </w:t>
      </w:r>
      <w:r w:rsidR="1AF0776E" w:rsidRPr="008C17AC">
        <w:rPr>
          <w:rFonts w:ascii="Times New Roman" w:eastAsia="Times New Roman" w:hAnsi="Times New Roman" w:cs="Times New Roman"/>
        </w:rPr>
        <w:t xml:space="preserve">holders of </w:t>
      </w:r>
      <w:r w:rsidR="473668C5" w:rsidRPr="008C17AC">
        <w:rPr>
          <w:rFonts w:ascii="Times New Roman" w:eastAsia="Times New Roman" w:hAnsi="Times New Roman" w:cs="Times New Roman"/>
        </w:rPr>
        <w:t xml:space="preserve">other academic posts such as editors or administrative staff, or </w:t>
      </w:r>
      <w:r w:rsidR="67C85C61" w:rsidRPr="008C17AC">
        <w:rPr>
          <w:rFonts w:ascii="Times New Roman" w:eastAsia="Times New Roman" w:hAnsi="Times New Roman" w:cs="Times New Roman"/>
        </w:rPr>
        <w:t xml:space="preserve">an entire </w:t>
      </w:r>
      <w:r w:rsidR="473668C5" w:rsidRPr="008C17AC">
        <w:rPr>
          <w:rFonts w:ascii="Times New Roman" w:eastAsia="Times New Roman" w:hAnsi="Times New Roman" w:cs="Times New Roman"/>
        </w:rPr>
        <w:t xml:space="preserve">academic institution such as </w:t>
      </w:r>
      <w:r w:rsidR="15310F5D" w:rsidRPr="008C17AC">
        <w:rPr>
          <w:rFonts w:ascii="Times New Roman" w:eastAsia="Times New Roman" w:hAnsi="Times New Roman" w:cs="Times New Roman"/>
        </w:rPr>
        <w:t xml:space="preserve">a </w:t>
      </w:r>
      <w:r w:rsidR="473668C5" w:rsidRPr="008C17AC">
        <w:rPr>
          <w:rFonts w:ascii="Times New Roman" w:eastAsia="Times New Roman" w:hAnsi="Times New Roman" w:cs="Times New Roman"/>
        </w:rPr>
        <w:t>universit</w:t>
      </w:r>
      <w:r w:rsidR="1F0A6088" w:rsidRPr="008C17AC">
        <w:rPr>
          <w:rFonts w:ascii="Times New Roman" w:eastAsia="Times New Roman" w:hAnsi="Times New Roman" w:cs="Times New Roman"/>
        </w:rPr>
        <w:t>y</w:t>
      </w:r>
      <w:r w:rsidR="473668C5" w:rsidRPr="008C17AC">
        <w:rPr>
          <w:rFonts w:ascii="Times New Roman" w:eastAsia="Times New Roman" w:hAnsi="Times New Roman" w:cs="Times New Roman"/>
        </w:rPr>
        <w:t>, journal, publisher</w:t>
      </w:r>
      <w:r w:rsidR="0346932B" w:rsidRPr="008C17AC">
        <w:rPr>
          <w:rFonts w:ascii="Times New Roman" w:eastAsia="Times New Roman" w:hAnsi="Times New Roman" w:cs="Times New Roman"/>
        </w:rPr>
        <w:t xml:space="preserve"> </w:t>
      </w:r>
      <w:r w:rsidR="473668C5" w:rsidRPr="008C17AC">
        <w:rPr>
          <w:rFonts w:ascii="Times New Roman" w:eastAsia="Times New Roman" w:hAnsi="Times New Roman" w:cs="Times New Roman"/>
        </w:rPr>
        <w:t>or funder.</w:t>
      </w:r>
      <w:r w:rsidR="0BF398BB" w:rsidRPr="008C17AC">
        <w:rPr>
          <w:rFonts w:ascii="Times New Roman" w:eastAsia="Times New Roman" w:hAnsi="Times New Roman" w:cs="Times New Roman"/>
        </w:rPr>
        <w:t xml:space="preserve"> </w:t>
      </w:r>
      <w:r w:rsidR="00876E00" w:rsidRPr="008C17AC">
        <w:rPr>
          <w:rFonts w:ascii="Times New Roman" w:eastAsia="Times New Roman" w:hAnsi="Times New Roman" w:cs="Times New Roman"/>
        </w:rPr>
        <w:t>The i</w:t>
      </w:r>
      <w:r w:rsidR="0EB687A6" w:rsidRPr="008C17AC">
        <w:rPr>
          <w:rFonts w:ascii="Times New Roman" w:eastAsia="Times New Roman" w:hAnsi="Times New Roman" w:cs="Times New Roman"/>
        </w:rPr>
        <w:t>ncluded s</w:t>
      </w:r>
      <w:r w:rsidR="18A801F1" w:rsidRPr="008C17AC">
        <w:rPr>
          <w:rFonts w:ascii="Times New Roman" w:eastAsia="Times New Roman" w:hAnsi="Times New Roman" w:cs="Times New Roman"/>
        </w:rPr>
        <w:t>tudies</w:t>
      </w:r>
      <w:r w:rsidR="21E85451" w:rsidRPr="008C17AC">
        <w:rPr>
          <w:rFonts w:ascii="Times New Roman" w:eastAsia="Times New Roman" w:hAnsi="Times New Roman" w:cs="Times New Roman"/>
        </w:rPr>
        <w:t xml:space="preserve"> could co</w:t>
      </w:r>
      <w:r w:rsidR="11391C72" w:rsidRPr="008C17AC">
        <w:rPr>
          <w:rFonts w:ascii="Times New Roman" w:eastAsia="Times New Roman" w:hAnsi="Times New Roman" w:cs="Times New Roman"/>
        </w:rPr>
        <w:t>v</w:t>
      </w:r>
      <w:r w:rsidR="21E85451" w:rsidRPr="008C17AC">
        <w:rPr>
          <w:rFonts w:ascii="Times New Roman" w:eastAsia="Times New Roman" w:hAnsi="Times New Roman" w:cs="Times New Roman"/>
        </w:rPr>
        <w:t>er any scientific field or discipline</w:t>
      </w:r>
      <w:r w:rsidR="1C6ECC75" w:rsidRPr="008C17AC">
        <w:rPr>
          <w:rFonts w:ascii="Times New Roman" w:eastAsia="Times New Roman" w:hAnsi="Times New Roman" w:cs="Times New Roman"/>
        </w:rPr>
        <w:t xml:space="preserve">. </w:t>
      </w:r>
    </w:p>
    <w:p w14:paraId="516F245A" w14:textId="054823DA" w:rsidR="009D0FED" w:rsidRPr="008C17AC" w:rsidRDefault="5957FE4A" w:rsidP="23EF21E2">
      <w:pPr>
        <w:spacing w:after="120" w:line="360" w:lineRule="auto"/>
        <w:ind w:right="-20" w:firstLine="567"/>
        <w:rPr>
          <w:rFonts w:ascii="Times New Roman" w:eastAsia="Times New Roman" w:hAnsi="Times New Roman" w:cs="Times New Roman"/>
        </w:rPr>
      </w:pPr>
      <w:r w:rsidRPr="008C17AC">
        <w:rPr>
          <w:rFonts w:ascii="Times New Roman" w:eastAsia="Times New Roman" w:hAnsi="Times New Roman" w:cs="Times New Roman"/>
          <w:b/>
          <w:bCs/>
        </w:rPr>
        <w:t>Interventions and Comparators</w:t>
      </w:r>
    </w:p>
    <w:p w14:paraId="3B413C1C" w14:textId="67FA2ECC" w:rsidR="009D0FED" w:rsidRPr="008C17AC" w:rsidRDefault="36114660" w:rsidP="23EF21E2">
      <w:pPr>
        <w:spacing w:after="120" w:line="360" w:lineRule="auto"/>
        <w:ind w:right="-20" w:firstLine="567"/>
        <w:rPr>
          <w:rFonts w:ascii="Times New Roman" w:eastAsia="Times New Roman" w:hAnsi="Times New Roman" w:cs="Times New Roman"/>
          <w:b/>
          <w:bCs/>
        </w:rPr>
      </w:pPr>
      <w:r w:rsidRPr="008C17AC">
        <w:rPr>
          <w:rFonts w:ascii="Times New Roman" w:eastAsia="Times New Roman" w:hAnsi="Times New Roman" w:cs="Times New Roman"/>
        </w:rPr>
        <w:t>We included a</w:t>
      </w:r>
      <w:r w:rsidR="53FC2DCB" w:rsidRPr="008C17AC">
        <w:rPr>
          <w:rFonts w:ascii="Times New Roman" w:eastAsia="Times New Roman" w:hAnsi="Times New Roman" w:cs="Times New Roman"/>
        </w:rPr>
        <w:t>ny intervention that aim</w:t>
      </w:r>
      <w:r w:rsidR="46C6B4B5" w:rsidRPr="008C17AC">
        <w:rPr>
          <w:rFonts w:ascii="Times New Roman" w:eastAsia="Times New Roman" w:hAnsi="Times New Roman" w:cs="Times New Roman"/>
        </w:rPr>
        <w:t>ed</w:t>
      </w:r>
      <w:r w:rsidR="53FC2DCB" w:rsidRPr="008C17AC">
        <w:rPr>
          <w:rFonts w:ascii="Times New Roman" w:eastAsia="Times New Roman" w:hAnsi="Times New Roman" w:cs="Times New Roman"/>
        </w:rPr>
        <w:t xml:space="preserve"> to improve the reproducibility and replicability of science</w:t>
      </w:r>
      <w:r w:rsidR="67714BA4" w:rsidRPr="008C17AC">
        <w:rPr>
          <w:rFonts w:ascii="Times New Roman" w:eastAsia="Times New Roman" w:hAnsi="Times New Roman" w:cs="Times New Roman"/>
        </w:rPr>
        <w:t xml:space="preserve">, basing the categories of interventions on broad definitions taken from multiple disciplines. </w:t>
      </w:r>
      <w:r w:rsidR="3FC52CD5" w:rsidRPr="008C17AC">
        <w:rPr>
          <w:rFonts w:ascii="Times New Roman" w:eastAsia="Times New Roman" w:hAnsi="Times New Roman" w:cs="Times New Roman"/>
        </w:rPr>
        <w:t xml:space="preserve">A list </w:t>
      </w:r>
      <w:r w:rsidR="0EFC5303" w:rsidRPr="008C17AC">
        <w:rPr>
          <w:rFonts w:ascii="Times New Roman" w:eastAsia="Times New Roman" w:hAnsi="Times New Roman" w:cs="Times New Roman"/>
        </w:rPr>
        <w:t xml:space="preserve">of </w:t>
      </w:r>
      <w:r w:rsidR="25E64834" w:rsidRPr="008C17AC">
        <w:rPr>
          <w:rFonts w:ascii="Times New Roman" w:eastAsia="Times New Roman" w:hAnsi="Times New Roman" w:cs="Times New Roman"/>
        </w:rPr>
        <w:t>interventions that</w:t>
      </w:r>
      <w:r w:rsidR="0C55B56B" w:rsidRPr="008C17AC">
        <w:rPr>
          <w:rFonts w:ascii="Times New Roman" w:eastAsia="Times New Roman" w:hAnsi="Times New Roman" w:cs="Times New Roman"/>
        </w:rPr>
        <w:t xml:space="preserve"> </w:t>
      </w:r>
      <w:r w:rsidR="25E64834" w:rsidRPr="008C17AC">
        <w:rPr>
          <w:rFonts w:ascii="Times New Roman" w:eastAsia="Times New Roman" w:hAnsi="Times New Roman" w:cs="Times New Roman"/>
        </w:rPr>
        <w:t xml:space="preserve">we </w:t>
      </w:r>
      <w:r w:rsidR="5F258BA3" w:rsidRPr="008C17AC">
        <w:rPr>
          <w:rFonts w:ascii="Times New Roman" w:eastAsia="Times New Roman" w:hAnsi="Times New Roman" w:cs="Times New Roman"/>
        </w:rPr>
        <w:t xml:space="preserve">expected </w:t>
      </w:r>
      <w:r w:rsidR="25E64834" w:rsidRPr="008C17AC">
        <w:rPr>
          <w:rFonts w:ascii="Times New Roman" w:eastAsia="Times New Roman" w:hAnsi="Times New Roman" w:cs="Times New Roman"/>
        </w:rPr>
        <w:t>to include</w:t>
      </w:r>
      <w:r w:rsidR="3DD8E316" w:rsidRPr="008C17AC">
        <w:rPr>
          <w:rFonts w:ascii="Times New Roman" w:eastAsia="Times New Roman" w:hAnsi="Times New Roman" w:cs="Times New Roman"/>
        </w:rPr>
        <w:t xml:space="preserve"> </w:t>
      </w:r>
      <w:r w:rsidR="4D29F38C" w:rsidRPr="008C17AC">
        <w:rPr>
          <w:rFonts w:ascii="Times New Roman" w:eastAsia="Times New Roman" w:hAnsi="Times New Roman" w:cs="Times New Roman"/>
        </w:rPr>
        <w:t>are</w:t>
      </w:r>
      <w:r w:rsidR="3DD8E316" w:rsidRPr="008C17AC">
        <w:rPr>
          <w:rFonts w:ascii="Times New Roman" w:eastAsia="Times New Roman" w:hAnsi="Times New Roman" w:cs="Times New Roman"/>
        </w:rPr>
        <w:t xml:space="preserve"> listed</w:t>
      </w:r>
      <w:r w:rsidR="25E64834" w:rsidRPr="008C17AC">
        <w:rPr>
          <w:rFonts w:ascii="Times New Roman" w:eastAsia="Times New Roman" w:hAnsi="Times New Roman" w:cs="Times New Roman"/>
        </w:rPr>
        <w:t xml:space="preserve"> in </w:t>
      </w:r>
      <w:r w:rsidR="753EA90F" w:rsidRPr="008C17AC">
        <w:rPr>
          <w:rFonts w:ascii="Times New Roman" w:eastAsia="Times New Roman" w:hAnsi="Times New Roman" w:cs="Times New Roman"/>
        </w:rPr>
        <w:t xml:space="preserve">the protocol </w:t>
      </w:r>
      <w:r w:rsidR="2D67300C" w:rsidRPr="008C17AC">
        <w:rPr>
          <w:rFonts w:ascii="Times New Roman" w:eastAsia="Times New Roman" w:hAnsi="Times New Roman" w:cs="Times New Roman"/>
          <w:sz w:val="24"/>
          <w:szCs w:val="24"/>
        </w:rPr>
        <w:fldChar w:fldCharType="begin"/>
      </w:r>
      <w:r w:rsidR="2D67300C" w:rsidRPr="008C17AC">
        <w:rPr>
          <w:rFonts w:ascii="Times New Roman" w:eastAsia="Times New Roman" w:hAnsi="Times New Roman" w:cs="Times New Roman"/>
          <w:sz w:val="24"/>
          <w:szCs w:val="24"/>
        </w:rPr>
        <w:instrText xml:space="preserve"> ADDIN ZOTERO_ITEM CSL_CITATION {"citationID":"6Z4wokDF","properties":{"formattedCitation":"[45]","plainCitation":"[45]","noteIndex":0},"citationItems":[{"id":31250,"uris":["http://zotero.org/groups/4983756/items/ISBKYYR4"],"itemData":{"id":31250,"type":"article-journal","abstract":"Background Many interventions, especially those linked to open science, have been proposed to combat the reproducibility crisis. To what extent these propositions are based on scientific evidence from empirical evaluations is not clear. Aims The primary objective is to identify interventions that have been formally investigated regarding their influence on reproducibility and replicability. A secondary objective is to list any facilitators or barriers reported and to identify gaps in the evidence. Methods We will search broadly by using electronic bibliographic databases, broad internet search, and contacting experts in the field of reproducibility, replicability, and open science. Any study investigating interventions for their influence on the reproducibility and replicability of research will be selected, including those studies additionally investigating drivers and barriers to the implementation and effectiveness of interventions. Studies will first be selected by title and abstract (if available), semi-automated, and then by reading the full text by at least two independent reviewers. We will analyze existing scientific evidence using scoping review and evidence gap mapping methodologies. Results The results will be presented in interactive evidence maps, summarized in a narrative synthesis, and serve as input for subsequent research. Review registration This protocol has been pre-registered on OSF under doi https://doi.org/10.17605/OSF.IO/D65YS","container-title":"Open Research Europe","DOI":"10.12688/openreseurope.16567.1","ISSN":"2732-5121","journalAbbreviation":"Open Res Europe","language":"en","page":"179","source":"DOI.org (Crossref)","title":"Scoping review and evidence mapping of interventions aimed at improving reproducible and replicable science: Protocol","title-short":"Scoping review and evidence mapping of interventions aimed at improving reproducible and replicable science","volume":"3","author":[{"family":"Dudda","given":"Leonie A."},{"family":"Kozula","given":"Magdalena"},{"family":"Ross-Hellauer","given":"Tony"},{"family":"Kormann","given":"Eva"},{"family":"Spijker","given":"René"},{"family":"DeVito","given":"Nicholas"},{"family":"Gopalakrishna","given":"Gowri"},{"family":"Van Den Eynden","given":"Veerle"},{"family":"Onghena","given":"Patrick"},{"family":"Naudet","given":"Florian"},{"family":"Banzi","given":"Rita"},{"family":"Fratelli","given":"Maddalena"},{"family":"Varga","given":"Monika"},{"family":"Gelsleichter","given":"Yuri Andrei"},{"family":"Stegeman","given":"Inge"},{"family":"Leeflang","given":"Mariska M."}],"issued":{"date-parts":[["2023",10,18]]}}}],"schema":"https://github.com/citation-style-language/schema/raw/master/csl-citation.json"} </w:instrText>
      </w:r>
      <w:r w:rsidR="2D67300C" w:rsidRPr="008C17AC">
        <w:rPr>
          <w:rFonts w:ascii="Times New Roman" w:eastAsia="Times New Roman" w:hAnsi="Times New Roman" w:cs="Times New Roman"/>
          <w:sz w:val="24"/>
          <w:szCs w:val="24"/>
        </w:rPr>
        <w:fldChar w:fldCharType="separate"/>
      </w:r>
      <w:r w:rsidR="116EF79B" w:rsidRPr="008C17AC">
        <w:rPr>
          <w:rFonts w:ascii="Times New Roman" w:hAnsi="Times New Roman" w:cs="Times New Roman"/>
        </w:rPr>
        <w:t>[45]</w:t>
      </w:r>
      <w:r w:rsidR="2D67300C" w:rsidRPr="008C17AC">
        <w:rPr>
          <w:rFonts w:ascii="Times New Roman" w:eastAsia="Times New Roman" w:hAnsi="Times New Roman" w:cs="Times New Roman"/>
          <w:sz w:val="24"/>
          <w:szCs w:val="24"/>
        </w:rPr>
        <w:fldChar w:fldCharType="end"/>
      </w:r>
      <w:r w:rsidR="753EA90F" w:rsidRPr="008C17AC">
        <w:rPr>
          <w:rFonts w:ascii="Times New Roman" w:eastAsia="Times New Roman" w:hAnsi="Times New Roman" w:cs="Times New Roman"/>
        </w:rPr>
        <w:t xml:space="preserve"> and in </w:t>
      </w:r>
      <w:r w:rsidR="1D27F455" w:rsidRPr="008C17AC">
        <w:rPr>
          <w:rFonts w:ascii="Times New Roman" w:eastAsia="Times New Roman" w:hAnsi="Times New Roman" w:cs="Times New Roman"/>
        </w:rPr>
        <w:t>Supplementary File 4</w:t>
      </w:r>
      <w:r w:rsidR="25E64834" w:rsidRPr="008C17AC">
        <w:rPr>
          <w:rFonts w:ascii="Times New Roman" w:eastAsia="Times New Roman" w:hAnsi="Times New Roman" w:cs="Times New Roman"/>
        </w:rPr>
        <w:t>.</w:t>
      </w:r>
      <w:r w:rsidR="53FC2DCB" w:rsidRPr="008C17AC">
        <w:rPr>
          <w:rFonts w:ascii="Times New Roman" w:eastAsia="Times New Roman" w:hAnsi="Times New Roman" w:cs="Times New Roman"/>
        </w:rPr>
        <w:t xml:space="preserve"> </w:t>
      </w:r>
      <w:r w:rsidR="7CDC184D" w:rsidRPr="008C17AC">
        <w:rPr>
          <w:rFonts w:ascii="Times New Roman" w:eastAsia="Times New Roman" w:hAnsi="Times New Roman" w:cs="Times New Roman"/>
        </w:rPr>
        <w:t xml:space="preserve">We </w:t>
      </w:r>
      <w:r w:rsidR="1D27F455" w:rsidRPr="008C17AC">
        <w:rPr>
          <w:rFonts w:ascii="Times New Roman" w:eastAsia="Times New Roman" w:hAnsi="Times New Roman" w:cs="Times New Roman"/>
        </w:rPr>
        <w:t>included</w:t>
      </w:r>
      <w:r w:rsidR="7CDC184D" w:rsidRPr="008C17AC">
        <w:rPr>
          <w:rFonts w:ascii="Times New Roman" w:eastAsia="Times New Roman" w:hAnsi="Times New Roman" w:cs="Times New Roman"/>
        </w:rPr>
        <w:t xml:space="preserve"> </w:t>
      </w:r>
      <w:r w:rsidR="422BF9B8" w:rsidRPr="008C17AC">
        <w:rPr>
          <w:rFonts w:ascii="Times New Roman" w:eastAsia="Times New Roman" w:hAnsi="Times New Roman" w:cs="Times New Roman"/>
        </w:rPr>
        <w:t xml:space="preserve">studies with </w:t>
      </w:r>
      <w:r w:rsidR="79AF1CF1" w:rsidRPr="008C17AC">
        <w:rPr>
          <w:rFonts w:ascii="Times New Roman" w:eastAsia="Times New Roman" w:hAnsi="Times New Roman" w:cs="Times New Roman"/>
        </w:rPr>
        <w:t>any</w:t>
      </w:r>
      <w:r w:rsidR="2DBB65D9" w:rsidRPr="008C17AC">
        <w:rPr>
          <w:rFonts w:ascii="Times New Roman" w:eastAsia="Times New Roman" w:hAnsi="Times New Roman" w:cs="Times New Roman"/>
        </w:rPr>
        <w:t xml:space="preserve"> comparator</w:t>
      </w:r>
      <w:r w:rsidR="5A0A7B5C" w:rsidRPr="008C17AC">
        <w:rPr>
          <w:rFonts w:ascii="Times New Roman" w:eastAsia="Times New Roman" w:hAnsi="Times New Roman" w:cs="Times New Roman"/>
        </w:rPr>
        <w:t>.</w:t>
      </w:r>
    </w:p>
    <w:p w14:paraId="0D379B89" w14:textId="2D1D3F38" w:rsidR="009D0FED" w:rsidRPr="008C17AC" w:rsidRDefault="2D134C20" w:rsidP="23EF21E2">
      <w:pPr>
        <w:spacing w:after="120" w:line="360" w:lineRule="auto"/>
        <w:ind w:right="-20" w:firstLine="567"/>
        <w:rPr>
          <w:rFonts w:ascii="Times New Roman" w:eastAsia="Times New Roman" w:hAnsi="Times New Roman" w:cs="Times New Roman"/>
          <w:b/>
          <w:bCs/>
        </w:rPr>
      </w:pPr>
      <w:r w:rsidRPr="008C17AC">
        <w:rPr>
          <w:rFonts w:ascii="Times New Roman" w:eastAsia="Times New Roman" w:hAnsi="Times New Roman" w:cs="Times New Roman"/>
          <w:b/>
          <w:bCs/>
        </w:rPr>
        <w:t>Outcomes</w:t>
      </w:r>
    </w:p>
    <w:p w14:paraId="2CEE16FC" w14:textId="528D81BF" w:rsidR="5A01B38F" w:rsidRPr="008C17AC" w:rsidRDefault="204C0960" w:rsidP="23EF21E2">
      <w:pPr>
        <w:spacing w:after="120" w:line="360" w:lineRule="auto"/>
        <w:ind w:right="-20" w:firstLine="567"/>
        <w:rPr>
          <w:rFonts w:ascii="Times New Roman" w:eastAsia="Times New Roman" w:hAnsi="Times New Roman" w:cs="Times New Roman"/>
        </w:rPr>
      </w:pPr>
      <w:r w:rsidRPr="008C17AC">
        <w:rPr>
          <w:rFonts w:ascii="Times New Roman" w:eastAsia="Times New Roman" w:hAnsi="Times New Roman" w:cs="Times New Roman"/>
        </w:rPr>
        <w:lastRenderedPageBreak/>
        <w:t>Our primary outcome is the reproducibility or replicability of research</w:t>
      </w:r>
      <w:r w:rsidR="00A73253" w:rsidRPr="008C17AC">
        <w:rPr>
          <w:rFonts w:ascii="Times New Roman" w:eastAsia="Times New Roman" w:hAnsi="Times New Roman" w:cs="Times New Roman"/>
        </w:rPr>
        <w:t xml:space="preserve">. This means that </w:t>
      </w:r>
      <w:r w:rsidR="5FB60F77" w:rsidRPr="008C17AC">
        <w:rPr>
          <w:rFonts w:ascii="Times New Roman" w:eastAsia="Times New Roman" w:hAnsi="Times New Roman" w:cs="Times New Roman"/>
        </w:rPr>
        <w:t xml:space="preserve">studies attempt to replicate or reproduce another study, </w:t>
      </w:r>
      <w:r w:rsidR="00F54237" w:rsidRPr="008C17AC">
        <w:rPr>
          <w:rFonts w:ascii="Times New Roman" w:eastAsia="Times New Roman" w:hAnsi="Times New Roman" w:cs="Times New Roman"/>
        </w:rPr>
        <w:t>including</w:t>
      </w:r>
      <w:r w:rsidR="5FB60F77" w:rsidRPr="008C17AC">
        <w:rPr>
          <w:rFonts w:ascii="Times New Roman" w:eastAsia="Times New Roman" w:hAnsi="Times New Roman" w:cs="Times New Roman"/>
        </w:rPr>
        <w:t xml:space="preserve"> aspects such as data collection, analyses, and/or </w:t>
      </w:r>
      <w:r w:rsidR="3E52B958" w:rsidRPr="008C17AC">
        <w:rPr>
          <w:rFonts w:ascii="Times New Roman" w:eastAsia="Times New Roman" w:hAnsi="Times New Roman" w:cs="Times New Roman"/>
        </w:rPr>
        <w:t>conclusions</w:t>
      </w:r>
      <w:r w:rsidR="477302C7" w:rsidRPr="008C17AC">
        <w:rPr>
          <w:rFonts w:ascii="Times New Roman" w:eastAsia="Times New Roman" w:hAnsi="Times New Roman" w:cs="Times New Roman"/>
        </w:rPr>
        <w:t xml:space="preserve"> (Supplementary File 4)</w:t>
      </w:r>
      <w:r w:rsidR="3E52B958" w:rsidRPr="008C17AC">
        <w:rPr>
          <w:rFonts w:ascii="Times New Roman" w:eastAsia="Times New Roman" w:hAnsi="Times New Roman" w:cs="Times New Roman"/>
        </w:rPr>
        <w:t>.</w:t>
      </w:r>
      <w:r w:rsidRPr="008C17AC">
        <w:rPr>
          <w:rFonts w:ascii="Times New Roman" w:eastAsia="Times New Roman" w:hAnsi="Times New Roman" w:cs="Times New Roman"/>
        </w:rPr>
        <w:t xml:space="preserve"> </w:t>
      </w:r>
    </w:p>
    <w:p w14:paraId="04539FFF" w14:textId="5333CEB1" w:rsidR="5A01B38F" w:rsidRPr="008C17AC" w:rsidRDefault="1A751E6D" w:rsidP="23EF21E2">
      <w:pPr>
        <w:spacing w:after="120" w:line="360" w:lineRule="auto"/>
        <w:ind w:right="-20" w:firstLine="567"/>
        <w:rPr>
          <w:rFonts w:ascii="Times New Roman" w:eastAsia="Times New Roman" w:hAnsi="Times New Roman" w:cs="Times New Roman"/>
        </w:rPr>
      </w:pPr>
      <w:r w:rsidRPr="008C17AC">
        <w:rPr>
          <w:rFonts w:ascii="Times New Roman" w:eastAsia="Times New Roman" w:hAnsi="Times New Roman" w:cs="Times New Roman"/>
        </w:rPr>
        <w:t xml:space="preserve">Since studies </w:t>
      </w:r>
      <w:r w:rsidR="45CE883E" w:rsidRPr="008C17AC">
        <w:rPr>
          <w:rFonts w:ascii="Times New Roman" w:eastAsia="Times New Roman" w:hAnsi="Times New Roman" w:cs="Times New Roman"/>
        </w:rPr>
        <w:t>directly examining replicability or reproducibility were expected to be rare, we also defined a number of proxy outcomes that would be necessary, but not necessarily sufficient</w:t>
      </w:r>
      <w:r w:rsidR="1BC890FF" w:rsidRPr="008C17AC">
        <w:rPr>
          <w:rFonts w:ascii="Times New Roman" w:eastAsia="Times New Roman" w:hAnsi="Times New Roman" w:cs="Times New Roman"/>
        </w:rPr>
        <w:t>,</w:t>
      </w:r>
      <w:r w:rsidR="45CE883E" w:rsidRPr="008C17AC">
        <w:rPr>
          <w:rFonts w:ascii="Times New Roman" w:eastAsia="Times New Roman" w:hAnsi="Times New Roman" w:cs="Times New Roman"/>
        </w:rPr>
        <w:t xml:space="preserve"> for</w:t>
      </w:r>
      <w:r w:rsidR="51975A40" w:rsidRPr="008C17AC">
        <w:rPr>
          <w:rFonts w:ascii="Times New Roman" w:eastAsia="Times New Roman" w:hAnsi="Times New Roman" w:cs="Times New Roman"/>
        </w:rPr>
        <w:t xml:space="preserve"> improved</w:t>
      </w:r>
      <w:r w:rsidR="45CE883E" w:rsidRPr="008C17AC">
        <w:rPr>
          <w:rFonts w:ascii="Times New Roman" w:eastAsia="Times New Roman" w:hAnsi="Times New Roman" w:cs="Times New Roman"/>
        </w:rPr>
        <w:t xml:space="preserve"> reproducibility. These</w:t>
      </w:r>
      <w:r w:rsidR="3D553766" w:rsidRPr="008C17AC">
        <w:rPr>
          <w:rFonts w:ascii="Times New Roman" w:eastAsia="Times New Roman" w:hAnsi="Times New Roman" w:cs="Times New Roman"/>
        </w:rPr>
        <w:t xml:space="preserve"> proxies</w:t>
      </w:r>
      <w:r w:rsidR="47D81DAC" w:rsidRPr="008C17AC">
        <w:rPr>
          <w:rFonts w:ascii="Times New Roman" w:eastAsia="Times New Roman" w:hAnsi="Times New Roman" w:cs="Times New Roman"/>
        </w:rPr>
        <w:t xml:space="preserve"> -</w:t>
      </w:r>
      <w:r w:rsidR="3D553766" w:rsidRPr="008C17AC">
        <w:rPr>
          <w:rFonts w:ascii="Times New Roman" w:eastAsia="Times New Roman" w:hAnsi="Times New Roman" w:cs="Times New Roman"/>
        </w:rPr>
        <w:t xml:space="preserve"> </w:t>
      </w:r>
      <w:r w:rsidR="7F6D3C27" w:rsidRPr="008C17AC">
        <w:rPr>
          <w:rFonts w:ascii="Times New Roman" w:eastAsia="Times New Roman" w:hAnsi="Times New Roman" w:cs="Times New Roman"/>
        </w:rPr>
        <w:t xml:space="preserve">practices commonly claimed within the literature to support reproducibility </w:t>
      </w:r>
      <w:r w:rsidR="56471833" w:rsidRPr="008C17AC">
        <w:rPr>
          <w:rFonts w:ascii="Times New Roman" w:eastAsia="Times New Roman" w:hAnsi="Times New Roman" w:cs="Times New Roman"/>
        </w:rPr>
        <w:t>-</w:t>
      </w:r>
      <w:r w:rsidR="7F6D3C27" w:rsidRPr="008C17AC">
        <w:rPr>
          <w:rFonts w:ascii="Times New Roman" w:eastAsia="Times New Roman" w:hAnsi="Times New Roman" w:cs="Times New Roman"/>
        </w:rPr>
        <w:t xml:space="preserve"> </w:t>
      </w:r>
      <w:r w:rsidR="2FBA3FDE" w:rsidRPr="008C17AC">
        <w:rPr>
          <w:rFonts w:ascii="Times New Roman" w:eastAsia="Times New Roman" w:hAnsi="Times New Roman" w:cs="Times New Roman"/>
        </w:rPr>
        <w:t>were</w:t>
      </w:r>
      <w:r w:rsidR="3CE5D4E9" w:rsidRPr="008C17AC">
        <w:rPr>
          <w:rFonts w:ascii="Times New Roman" w:eastAsia="Times New Roman" w:hAnsi="Times New Roman" w:cs="Times New Roman"/>
        </w:rPr>
        <w:t xml:space="preserve"> defined using a conceptual framework drawn from key texts</w:t>
      </w:r>
      <w:r w:rsidR="3D553766" w:rsidRPr="008C17AC">
        <w:rPr>
          <w:rFonts w:ascii="Times New Roman" w:eastAsia="Times New Roman" w:hAnsi="Times New Roman" w:cs="Times New Roman"/>
        </w:rPr>
        <w:t xml:space="preserve"> </w:t>
      </w:r>
      <w:r w:rsidR="7B9856BC" w:rsidRPr="008C17AC">
        <w:rPr>
          <w:rFonts w:ascii="Times New Roman" w:eastAsia="Times New Roman" w:hAnsi="Times New Roman" w:cs="Times New Roman"/>
          <w:sz w:val="24"/>
          <w:szCs w:val="24"/>
        </w:rPr>
        <w:fldChar w:fldCharType="begin"/>
      </w:r>
      <w:r w:rsidR="7B9856BC" w:rsidRPr="008C17AC">
        <w:rPr>
          <w:rFonts w:ascii="Times New Roman" w:eastAsia="Times New Roman" w:hAnsi="Times New Roman" w:cs="Times New Roman"/>
          <w:sz w:val="24"/>
          <w:szCs w:val="24"/>
        </w:rPr>
        <w:instrText xml:space="preserve"> ADDIN ZOTERO_ITEM CSL_CITATION {"citationID":"OKcUId2E","properties":{"formattedCitation":"[19,22,23,47]","plainCitation":"[19,22,23,47]","noteIndex":0},"citationItems":[{"id":28497,"uris":["http://zotero.org/groups/4983756/items/ZBXUT3BE"],"itemData":{"id":28497,"type":"article-journal","abstract":"Improving the reliability and efficiency of scientific research will increase the credibility of the published scientific literature and accelerate discovery. Here we argue for the adoption of measures to optimize key elements of the scientific process: methods, reporting and dissemination, reproducibility, evaluation and incentives. There is some evidence from both simulations and empirical studies supporting the likely effectiveness of these measures, but their broad adoption by researchers, institutions, funders and journals will require iterative evaluation and improvement. We discuss the goals of these measures, and how they can be implemented, in the hope that this will facilitate action toward improving the transparency, reproducibility and efficiency of scientific research.","archive":"PubMed-not-MEDLINE","archive_location":"33954258","container-title":"Nat Hum Behav","DOI":"10.1038/s41562-016-0021","ISSN":"2397-3374 (Electronic) 2397-3374 (Linking)","page":"0021","source":"NLM","title":"A manifesto for reproducible science","volume":"1","author":[{"family":"Munafo","given":"M. R."},{"family":"Nosek","given":"B. A."},{"family":"Bishop","given":"D. V. M."},{"family":"Button","given":"K. S."},{"family":"Chambers","given":"C. D."},{"family":"Sert","given":"N. P.","non-dropping-particle":"du"},{"family":"Simonsohn","given":"U."},{"family":"Wagenmakers","given":"E. J."},{"family":"Ware","given":"J. J."},{"family":"Ioannidis","given":"J. P. A."}],"issued":{"date-parts":[["2017",1,10]]}}},{"id":28499,"uris":["http://zotero.org/groups/4983756/items/Y9I7QS3Y"],"itemData":{"id":28499,"type":"article-journal","abstract":"We present an experiment using the Enzo simulation code on NCSA’s Blue Waters system to highlight the importance of computational and numerical uncertainty in scientific computing on HPC systems. We quantify the (surprising) variability of outputs from 200 identical simulation runs. We make two recommendations to improve the assessment of reproducibility of computational results: the inclusion of computational variability measures in standard reporting practices; and modular software designs that permit localized assessments of the source of computational uncertainty.","title":"Assessing Reproducibility : An Astrophysical Example of Computational Uncertainty in the HPC Context","URL":"https://www.semanticscholar.org/paper/c2321c16a12b0a71ab99214a054a60bd2655a505","author":[{"family":"Stodden","given":"V."}],"issued":{"date-parts":[["2018"]]}}},{"id":31247,"uris":["http://zotero.org/groups/4983756/items/BSRLV5VM"],"itemData":{"id":31247,"type":"book","abstract":"The objective of the study “Assessing the reproducibility of research results in EU Framework Programmes for Research” is to assist the European Commission in understanding, testing and monitoring the progress of reproducibility over time and across the programmes. The study primarily focused on the state of reproducibility during the implementation of Horizon 2020. The study relied on a mixed-methods research design, combining qualitative textual analysis of 50 Horizon 2020 projects, quantitative assessment of 300 Horizon 2020 projects, as well as a large-scale survey programme of researchers, journal editors, and research funders. The data collected indicates that while reproducibility of research is an important principle to stakeholders overall, the level of implementation of reproducibility-related practices is very mixed depending on the specific reproducibility-related factor. Our findings suggest that the key barriers for reproducibility are cultural factors in the scientific field (e.g. pressure to publish, lack of recognition of reproducibility-related research practices) and the perception that reproducibility is costly in terms of time and resources. Based on these findings, this study provides a comprehensive set of recommendations for research funders to overcome the existing barriers and increase reproducibility of EU-funded research and innovation.","call-number":"KI-07-22-280-EN-N","ISBN":"978-92-76-52431-1","language":"eng","publisher":"Publications Office of the European Union","source":"Publications Office of the European Union","title":"Assessing the reproducibility of research results in EU Framework Programmes for Research: final report","title-short":"Assessing the reproducibility of research results in EU Framework Programmes for Research","URL":"https://data.europa.eu/doi/10.2777/186782","author":[{"literal":"Athena RC"},{"literal":"Directorate-General for Research and Innovation (European Commission)"},{"literal":"Know-Center"},{"literal":"PPMI"}],"accessed":{"date-parts":[["2024",5,7]]},"issued":{"date-parts":[["2022"]]}}},{"id":31246,"uris":["http://zotero.org/groups/4983756/items/FRARLBWN"],"itemData":{"id":31246,"type":"book","abstract":"This report scopes the issue of the reproducibility of scientific results, based on a field review and on an expert seminar on the opportunity of policy action in Europe. As such, it aims to increase the European Commission’s understanding of the lack of reproducibility in Europe, and help design a suitable response in the context of EU Research &amp; Innovation. The report identifies the key emerging issues in reproducibility; it is informed by clearly marked expert opinion (in italics), as it emerged from the scoping seminar. Concrete recommendations of possible action by the European Commission are featured in separate ‘Action Boxes’. Overall the report introduces the concept of reproducibility as a continuum of practices. It is posited that the reproducibility of results has value both as a mechanism to ensure good science based on truthful claims, and as a driver of further discovery and innovation. The sections includes a working definition that is conducive for policy making and thus delimits the scope of the subject. Then the report reviews recent claims regarding the increasing lack of reproducibility in modern science, dubbed by some a ‘crisis of reproducibility’. It explores the main traits and underlying causes of the lack of reproducibility, including bias, poor experimental design and statistics, issues with scientific reporting, research culture, career-related factors and economics. Finally, the report reviews recent activities by scientists, research funders and publishers that aim to mitigate the lack of reproducibility; and it catalogues a range of possible remedies to the lack of reproducibility as they are found in the literature. The report provides concrete advice for policy action that may increase reproducibility in three key areas of the EU Research &amp; Innovation, specifically guidelines; the research grant system; and training and careers","call-number":"KI-03-20-399-EN-N","ISBN":"978-92-76-19888-8","language":"eng","publisher":"Publications Office of the European Union","source":"Publications Office of the European Union","title":"Reproducibility of scientific results in the EU: scoping report","title-short":"Reproducibility of scientific results in the EU","URL":"https://data.europa.eu/doi/10.2777/341654","author":[{"literal":"Directorate-General for Research and Innovation (European Commission)"},{"family":"Baker","given":"Lee"},{"family":"Cristea","given":"Ioana Alina"},{"family":"Errington","given":"Timothy M."},{"family":"Jaśko","given":"Katarzyna"},{"family":"Lusoli","given":"Wainer"},{"family":"MacCallum","given":"Catriona J."},{"family":"Parry","given":"Vivienne"},{"family":"Pérignon","given":"Christophe"},{"family":"Šimko","given":"Tibor"},{"family":"Winchester","given":"Catherine"}],"accessed":{"date-parts":[["2024",5,7]]},"issued":{"date-parts":[["2020"]]}}}],"schema":"https://github.com/citation-style-language/schema/raw/master/csl-citation.json"} </w:instrText>
      </w:r>
      <w:r w:rsidR="7B9856BC" w:rsidRPr="008C17AC">
        <w:rPr>
          <w:rFonts w:ascii="Times New Roman" w:eastAsia="Times New Roman" w:hAnsi="Times New Roman" w:cs="Times New Roman"/>
          <w:sz w:val="24"/>
          <w:szCs w:val="24"/>
        </w:rPr>
        <w:fldChar w:fldCharType="separate"/>
      </w:r>
      <w:r w:rsidR="1242BD40" w:rsidRPr="008C17AC">
        <w:rPr>
          <w:rFonts w:ascii="Times New Roman" w:hAnsi="Times New Roman" w:cs="Times New Roman"/>
        </w:rPr>
        <w:t>[19,22,23,47]</w:t>
      </w:r>
      <w:r w:rsidR="7B9856BC" w:rsidRPr="008C17AC">
        <w:rPr>
          <w:rFonts w:ascii="Times New Roman" w:eastAsia="Times New Roman" w:hAnsi="Times New Roman" w:cs="Times New Roman"/>
          <w:sz w:val="24"/>
          <w:szCs w:val="24"/>
        </w:rPr>
        <w:fldChar w:fldCharType="end"/>
      </w:r>
      <w:r w:rsidR="28D18C35" w:rsidRPr="008C17AC">
        <w:rPr>
          <w:rFonts w:ascii="Times New Roman" w:eastAsia="Times New Roman" w:hAnsi="Times New Roman" w:cs="Times New Roman"/>
        </w:rPr>
        <w:t xml:space="preserve">, along with </w:t>
      </w:r>
      <w:r w:rsidR="537F4465" w:rsidRPr="008C17AC">
        <w:rPr>
          <w:rFonts w:ascii="Times New Roman" w:eastAsia="Times New Roman" w:hAnsi="Times New Roman" w:cs="Times New Roman"/>
        </w:rPr>
        <w:t xml:space="preserve">consultation </w:t>
      </w:r>
      <w:r w:rsidR="008378E3" w:rsidRPr="008C17AC">
        <w:rPr>
          <w:rFonts w:ascii="Times New Roman" w:eastAsia="Times New Roman" w:hAnsi="Times New Roman" w:cs="Times New Roman"/>
        </w:rPr>
        <w:t>experts</w:t>
      </w:r>
      <w:r w:rsidR="1BB4EC30" w:rsidRPr="008C17AC">
        <w:rPr>
          <w:rFonts w:ascii="Times New Roman" w:eastAsia="Times New Roman" w:hAnsi="Times New Roman" w:cs="Times New Roman"/>
        </w:rPr>
        <w:t xml:space="preserve"> </w:t>
      </w:r>
      <w:r w:rsidR="6F4F08E2" w:rsidRPr="008C17AC">
        <w:rPr>
          <w:rFonts w:ascii="Times New Roman" w:eastAsia="Times New Roman" w:hAnsi="Times New Roman" w:cs="Times New Roman"/>
        </w:rPr>
        <w:t>on</w:t>
      </w:r>
      <w:r w:rsidR="687C1247" w:rsidRPr="008C17AC">
        <w:rPr>
          <w:rFonts w:ascii="Times New Roman" w:eastAsia="Times New Roman" w:hAnsi="Times New Roman" w:cs="Times New Roman"/>
        </w:rPr>
        <w:t xml:space="preserve"> the measurement and assessment of</w:t>
      </w:r>
      <w:r w:rsidR="6F4F08E2" w:rsidRPr="008C17AC">
        <w:rPr>
          <w:rFonts w:ascii="Times New Roman" w:eastAsia="Times New Roman" w:hAnsi="Times New Roman" w:cs="Times New Roman"/>
        </w:rPr>
        <w:t xml:space="preserve"> reproducibility</w:t>
      </w:r>
      <w:r w:rsidR="008378E3" w:rsidRPr="008C17AC">
        <w:rPr>
          <w:rFonts w:ascii="Times New Roman" w:eastAsia="Times New Roman" w:hAnsi="Times New Roman" w:cs="Times New Roman"/>
        </w:rPr>
        <w:t xml:space="preserve"> from different disciplines</w:t>
      </w:r>
      <w:r w:rsidR="58734E29" w:rsidRPr="008C17AC">
        <w:rPr>
          <w:rFonts w:ascii="Times New Roman" w:eastAsia="Times New Roman" w:hAnsi="Times New Roman" w:cs="Times New Roman"/>
        </w:rPr>
        <w:t>.</w:t>
      </w:r>
      <w:r w:rsidR="1EEBAE0B" w:rsidRPr="008C17AC">
        <w:rPr>
          <w:rFonts w:ascii="Times New Roman" w:eastAsia="Times New Roman" w:hAnsi="Times New Roman" w:cs="Times New Roman"/>
        </w:rPr>
        <w:t xml:space="preserve"> Based on these considerations, outcomes such as preregistration, data sharing</w:t>
      </w:r>
      <w:r w:rsidR="006D5A4E" w:rsidRPr="008C17AC">
        <w:rPr>
          <w:rFonts w:ascii="Times New Roman" w:eastAsia="Times New Roman" w:hAnsi="Times New Roman" w:cs="Times New Roman"/>
        </w:rPr>
        <w:t xml:space="preserve"> and</w:t>
      </w:r>
      <w:r w:rsidR="1EEBAE0B" w:rsidRPr="008C17AC">
        <w:rPr>
          <w:rFonts w:ascii="Times New Roman" w:eastAsia="Times New Roman" w:hAnsi="Times New Roman" w:cs="Times New Roman"/>
        </w:rPr>
        <w:t xml:space="preserve"> co</w:t>
      </w:r>
      <w:r w:rsidR="5F95E7A8" w:rsidRPr="008C17AC">
        <w:rPr>
          <w:rFonts w:ascii="Times New Roman" w:eastAsia="Times New Roman" w:hAnsi="Times New Roman" w:cs="Times New Roman"/>
        </w:rPr>
        <w:t>mpleteness of reporting</w:t>
      </w:r>
      <w:r w:rsidR="00EF71D8" w:rsidRPr="008C17AC">
        <w:rPr>
          <w:rFonts w:ascii="Times New Roman" w:eastAsia="Times New Roman" w:hAnsi="Times New Roman" w:cs="Times New Roman"/>
        </w:rPr>
        <w:t xml:space="preserve"> </w:t>
      </w:r>
      <w:r w:rsidR="692D218F" w:rsidRPr="008C17AC">
        <w:rPr>
          <w:rFonts w:ascii="Times New Roman" w:eastAsia="Times New Roman" w:hAnsi="Times New Roman" w:cs="Times New Roman"/>
        </w:rPr>
        <w:t xml:space="preserve">were therefore considered </w:t>
      </w:r>
      <w:r w:rsidR="0050102F" w:rsidRPr="008C17AC">
        <w:rPr>
          <w:rFonts w:ascii="Times New Roman" w:eastAsia="Times New Roman" w:hAnsi="Times New Roman" w:cs="Times New Roman"/>
        </w:rPr>
        <w:t>to be with</w:t>
      </w:r>
      <w:r w:rsidR="692D218F" w:rsidRPr="008C17AC">
        <w:rPr>
          <w:rFonts w:ascii="Times New Roman" w:eastAsia="Times New Roman" w:hAnsi="Times New Roman" w:cs="Times New Roman"/>
        </w:rPr>
        <w:t xml:space="preserve">in </w:t>
      </w:r>
      <w:r w:rsidR="0050102F" w:rsidRPr="008C17AC">
        <w:rPr>
          <w:rFonts w:ascii="Times New Roman" w:eastAsia="Times New Roman" w:hAnsi="Times New Roman" w:cs="Times New Roman"/>
        </w:rPr>
        <w:t xml:space="preserve">the </w:t>
      </w:r>
      <w:r w:rsidR="692D218F" w:rsidRPr="008C17AC">
        <w:rPr>
          <w:rFonts w:ascii="Times New Roman" w:eastAsia="Times New Roman" w:hAnsi="Times New Roman" w:cs="Times New Roman"/>
        </w:rPr>
        <w:t xml:space="preserve">scope </w:t>
      </w:r>
      <w:r w:rsidR="0050102F" w:rsidRPr="008C17AC">
        <w:rPr>
          <w:rFonts w:ascii="Times New Roman" w:eastAsia="Times New Roman" w:hAnsi="Times New Roman" w:cs="Times New Roman"/>
        </w:rPr>
        <w:t>of</w:t>
      </w:r>
      <w:r w:rsidR="692D218F" w:rsidRPr="008C17AC">
        <w:rPr>
          <w:rFonts w:ascii="Times New Roman" w:eastAsia="Times New Roman" w:hAnsi="Times New Roman" w:cs="Times New Roman"/>
        </w:rPr>
        <w:t xml:space="preserve"> the review</w:t>
      </w:r>
      <w:r w:rsidR="00EF71D8" w:rsidRPr="008C17AC">
        <w:rPr>
          <w:rFonts w:ascii="Times New Roman" w:eastAsia="Times New Roman" w:hAnsi="Times New Roman" w:cs="Times New Roman"/>
        </w:rPr>
        <w:t xml:space="preserve"> </w:t>
      </w:r>
      <w:r w:rsidR="00EF71D8" w:rsidRPr="008C17AC">
        <w:rPr>
          <w:rFonts w:ascii="Times New Roman" w:eastAsia="Times New Roman" w:hAnsi="Times New Roman" w:cs="Times New Roman"/>
          <w:sz w:val="24"/>
          <w:szCs w:val="24"/>
        </w:rPr>
        <w:t>as proxies that could facilitate reproducibility</w:t>
      </w:r>
      <w:r w:rsidR="1EEBAE0B" w:rsidRPr="008C17AC">
        <w:rPr>
          <w:rFonts w:ascii="Times New Roman" w:eastAsia="Times New Roman" w:hAnsi="Times New Roman" w:cs="Times New Roman"/>
        </w:rPr>
        <w:t>.</w:t>
      </w:r>
      <w:r w:rsidR="5EC34691" w:rsidRPr="008C17AC">
        <w:rPr>
          <w:rFonts w:ascii="Times New Roman" w:eastAsia="Times New Roman" w:hAnsi="Times New Roman" w:cs="Times New Roman"/>
        </w:rPr>
        <w:t xml:space="preserve"> As a consequence, </w:t>
      </w:r>
      <w:r w:rsidR="1EEBAE0B" w:rsidRPr="008C17AC">
        <w:rPr>
          <w:rFonts w:ascii="Times New Roman" w:eastAsia="Times New Roman" w:hAnsi="Times New Roman" w:cs="Times New Roman"/>
        </w:rPr>
        <w:t xml:space="preserve">various Open Science practices </w:t>
      </w:r>
      <w:r w:rsidR="405B8E78" w:rsidRPr="008C17AC">
        <w:rPr>
          <w:rFonts w:ascii="Times New Roman" w:eastAsia="Times New Roman" w:hAnsi="Times New Roman" w:cs="Times New Roman"/>
        </w:rPr>
        <w:t xml:space="preserve">were </w:t>
      </w:r>
      <w:r w:rsidR="1EEBAE0B" w:rsidRPr="008C17AC">
        <w:rPr>
          <w:rFonts w:ascii="Times New Roman" w:eastAsia="Times New Roman" w:hAnsi="Times New Roman" w:cs="Times New Roman"/>
        </w:rPr>
        <w:t xml:space="preserve">included </w:t>
      </w:r>
      <w:r w:rsidR="24EDB412" w:rsidRPr="008C17AC">
        <w:rPr>
          <w:rFonts w:ascii="Times New Roman" w:eastAsia="Times New Roman" w:hAnsi="Times New Roman" w:cs="Times New Roman"/>
        </w:rPr>
        <w:t xml:space="preserve">both </w:t>
      </w:r>
      <w:r w:rsidR="1EEBAE0B" w:rsidRPr="008C17AC">
        <w:rPr>
          <w:rFonts w:ascii="Times New Roman" w:eastAsia="Times New Roman" w:hAnsi="Times New Roman" w:cs="Times New Roman"/>
        </w:rPr>
        <w:t>as interventions</w:t>
      </w:r>
      <w:r w:rsidR="46C7CF4F" w:rsidRPr="008C17AC">
        <w:rPr>
          <w:rFonts w:ascii="Times New Roman" w:eastAsia="Times New Roman" w:hAnsi="Times New Roman" w:cs="Times New Roman"/>
        </w:rPr>
        <w:t xml:space="preserve"> and as proxy outcome</w:t>
      </w:r>
      <w:r w:rsidR="64D49C5B" w:rsidRPr="008C17AC">
        <w:rPr>
          <w:rFonts w:ascii="Times New Roman" w:eastAsia="Times New Roman" w:hAnsi="Times New Roman" w:cs="Times New Roman"/>
        </w:rPr>
        <w:t>s</w:t>
      </w:r>
      <w:r w:rsidR="46C7CF4F" w:rsidRPr="008C17AC">
        <w:rPr>
          <w:rFonts w:ascii="Times New Roman" w:eastAsia="Times New Roman" w:hAnsi="Times New Roman" w:cs="Times New Roman"/>
        </w:rPr>
        <w:t xml:space="preserve"> for reproducibility</w:t>
      </w:r>
      <w:r w:rsidR="1EEBAE0B" w:rsidRPr="008C17AC">
        <w:rPr>
          <w:rFonts w:ascii="Times New Roman" w:eastAsia="Times New Roman" w:hAnsi="Times New Roman" w:cs="Times New Roman"/>
        </w:rPr>
        <w:t>.</w:t>
      </w:r>
    </w:p>
    <w:p w14:paraId="50B3603F" w14:textId="7AF843D0" w:rsidR="009D0FED" w:rsidRPr="008C17AC" w:rsidRDefault="53981C49" w:rsidP="23EF21E2">
      <w:pPr>
        <w:spacing w:after="120" w:line="360" w:lineRule="auto"/>
        <w:ind w:right="-20"/>
        <w:rPr>
          <w:rFonts w:ascii="Times New Roman" w:eastAsia="Times New Roman" w:hAnsi="Times New Roman" w:cs="Times New Roman"/>
          <w:b/>
          <w:bCs/>
        </w:rPr>
      </w:pPr>
      <w:r w:rsidRPr="008C17AC">
        <w:rPr>
          <w:rFonts w:ascii="Times New Roman" w:eastAsia="Times New Roman" w:hAnsi="Times New Roman" w:cs="Times New Roman"/>
          <w:b/>
          <w:bCs/>
        </w:rPr>
        <w:t>Search strategies</w:t>
      </w:r>
    </w:p>
    <w:p w14:paraId="72222C89" w14:textId="6FCA117A" w:rsidR="33F5D86A" w:rsidRPr="008C17AC" w:rsidRDefault="0DA1029D" w:rsidP="47AB2BE1">
      <w:pPr>
        <w:spacing w:after="120" w:line="360" w:lineRule="auto"/>
        <w:ind w:right="-20" w:firstLine="567"/>
        <w:rPr>
          <w:rFonts w:ascii="Times New Roman" w:eastAsia="Times New Roman" w:hAnsi="Times New Roman" w:cs="Times New Roman"/>
          <w:b/>
          <w:bCs/>
          <w:i/>
          <w:iCs/>
        </w:rPr>
      </w:pPr>
      <w:r w:rsidRPr="008C17AC">
        <w:rPr>
          <w:rFonts w:ascii="Times New Roman" w:eastAsia="Times New Roman" w:hAnsi="Times New Roman" w:cs="Times New Roman"/>
          <w:b/>
          <w:bCs/>
          <w:i/>
          <w:iCs/>
        </w:rPr>
        <w:t>Development of the search query</w:t>
      </w:r>
    </w:p>
    <w:p w14:paraId="645B7BF0" w14:textId="4A261BCA" w:rsidR="00491ED0" w:rsidRPr="008C17AC" w:rsidRDefault="1E220172" w:rsidP="53710C61">
      <w:pPr>
        <w:spacing w:after="120" w:line="360" w:lineRule="auto"/>
        <w:ind w:right="-20" w:firstLine="540"/>
        <w:rPr>
          <w:rFonts w:ascii="Times New Roman" w:eastAsia="Times New Roman" w:hAnsi="Times New Roman" w:cs="Times New Roman"/>
        </w:rPr>
      </w:pPr>
      <w:r w:rsidRPr="008C17AC">
        <w:rPr>
          <w:rFonts w:ascii="Times New Roman" w:eastAsiaTheme="minorEastAsia" w:hAnsi="Times New Roman" w:cs="Times New Roman"/>
        </w:rPr>
        <w:t xml:space="preserve">The development of the search strategy was an iterative process, containing multiple steps and feedback loops. </w:t>
      </w:r>
      <w:r w:rsidR="7C96D4B8" w:rsidRPr="008C17AC">
        <w:rPr>
          <w:rFonts w:ascii="Times New Roman" w:eastAsiaTheme="minorEastAsia" w:hAnsi="Times New Roman" w:cs="Times New Roman"/>
        </w:rPr>
        <w:t>As the notion of reproducibility and replicability varies across disciplines</w:t>
      </w:r>
      <w:r w:rsidR="38CA98D6" w:rsidRPr="008C17AC">
        <w:rPr>
          <w:rFonts w:ascii="Times New Roman" w:eastAsiaTheme="minorEastAsia" w:hAnsi="Times New Roman" w:cs="Times New Roman"/>
        </w:rPr>
        <w:t xml:space="preserve">, we based the search terms for </w:t>
      </w:r>
      <w:r w:rsidR="7C96D4B8" w:rsidRPr="008C17AC">
        <w:rPr>
          <w:rFonts w:ascii="Times New Roman" w:eastAsiaTheme="minorEastAsia" w:hAnsi="Times New Roman" w:cs="Times New Roman"/>
        </w:rPr>
        <w:t xml:space="preserve">interventions and outcomes on broad definitions taken from multiple texts and </w:t>
      </w:r>
      <w:r w:rsidR="38CA98D6" w:rsidRPr="008C17AC">
        <w:rPr>
          <w:rFonts w:ascii="Times New Roman" w:eastAsiaTheme="minorEastAsia" w:hAnsi="Times New Roman" w:cs="Times New Roman"/>
        </w:rPr>
        <w:t xml:space="preserve">we </w:t>
      </w:r>
      <w:r w:rsidR="7C96D4B8" w:rsidRPr="008C17AC">
        <w:rPr>
          <w:rFonts w:ascii="Times New Roman" w:eastAsiaTheme="minorEastAsia" w:hAnsi="Times New Roman" w:cs="Times New Roman"/>
        </w:rPr>
        <w:t>search</w:t>
      </w:r>
      <w:r w:rsidR="38CA98D6" w:rsidRPr="008C17AC">
        <w:rPr>
          <w:rFonts w:ascii="Times New Roman" w:eastAsiaTheme="minorEastAsia" w:hAnsi="Times New Roman" w:cs="Times New Roman"/>
        </w:rPr>
        <w:t xml:space="preserve">ed </w:t>
      </w:r>
      <w:r w:rsidR="7C96D4B8" w:rsidRPr="008C17AC">
        <w:rPr>
          <w:rFonts w:ascii="Times New Roman" w:eastAsiaTheme="minorEastAsia" w:hAnsi="Times New Roman" w:cs="Times New Roman"/>
        </w:rPr>
        <w:t xml:space="preserve">ten databases to cover </w:t>
      </w:r>
      <w:r w:rsidR="38CA98D6" w:rsidRPr="008C17AC">
        <w:rPr>
          <w:rFonts w:ascii="Times New Roman" w:eastAsiaTheme="minorEastAsia" w:hAnsi="Times New Roman" w:cs="Times New Roman"/>
        </w:rPr>
        <w:t>a broad variety in</w:t>
      </w:r>
      <w:r w:rsidR="7C96D4B8" w:rsidRPr="008C17AC">
        <w:rPr>
          <w:rFonts w:ascii="Times New Roman" w:eastAsiaTheme="minorEastAsia" w:hAnsi="Times New Roman" w:cs="Times New Roman"/>
        </w:rPr>
        <w:t xml:space="preserve"> disciplines</w:t>
      </w:r>
      <w:r w:rsidR="38CA98D6" w:rsidRPr="008C17AC">
        <w:rPr>
          <w:rFonts w:ascii="Times New Roman" w:eastAsiaTheme="minorEastAsia" w:hAnsi="Times New Roman" w:cs="Times New Roman"/>
        </w:rPr>
        <w:t>.</w:t>
      </w:r>
    </w:p>
    <w:p w14:paraId="6407EDC1" w14:textId="46D03C01" w:rsidR="009D0FED" w:rsidRPr="008C17AC" w:rsidRDefault="77408EE6" w:rsidP="23EF21E2">
      <w:pPr>
        <w:spacing w:after="120" w:line="360" w:lineRule="auto"/>
        <w:ind w:right="-20" w:firstLine="540"/>
        <w:rPr>
          <w:rFonts w:ascii="Times New Roman" w:eastAsia="Times New Roman" w:hAnsi="Times New Roman" w:cs="Times New Roman"/>
          <w:b/>
          <w:bCs/>
          <w:i/>
          <w:iCs/>
        </w:rPr>
      </w:pPr>
      <w:r w:rsidRPr="008C17AC">
        <w:rPr>
          <w:rFonts w:ascii="Times New Roman" w:eastAsia="Times New Roman" w:hAnsi="Times New Roman" w:cs="Times New Roman"/>
        </w:rPr>
        <w:t xml:space="preserve">First, we </w:t>
      </w:r>
      <w:r w:rsidR="00B76906" w:rsidRPr="008C17AC">
        <w:rPr>
          <w:rFonts w:ascii="Times New Roman" w:eastAsia="Times New Roman" w:hAnsi="Times New Roman" w:cs="Times New Roman"/>
        </w:rPr>
        <w:t>requested</w:t>
      </w:r>
      <w:r w:rsidRPr="008C17AC">
        <w:rPr>
          <w:rFonts w:ascii="Times New Roman" w:eastAsia="Times New Roman" w:hAnsi="Times New Roman" w:cs="Times New Roman"/>
        </w:rPr>
        <w:t xml:space="preserve"> </w:t>
      </w:r>
      <w:r w:rsidR="44C6BDAE" w:rsidRPr="008C17AC">
        <w:rPr>
          <w:rFonts w:ascii="Times New Roman" w:eastAsia="Times New Roman" w:hAnsi="Times New Roman" w:cs="Times New Roman"/>
        </w:rPr>
        <w:t>“</w:t>
      </w:r>
      <w:r w:rsidRPr="008C17AC">
        <w:rPr>
          <w:rFonts w:ascii="Times New Roman" w:eastAsia="Times New Roman" w:hAnsi="Times New Roman" w:cs="Times New Roman"/>
        </w:rPr>
        <w:t>key article</w:t>
      </w:r>
      <w:r w:rsidR="3BE39452" w:rsidRPr="008C17AC">
        <w:rPr>
          <w:rFonts w:ascii="Times New Roman" w:eastAsia="Times New Roman" w:hAnsi="Times New Roman" w:cs="Times New Roman"/>
        </w:rPr>
        <w:t>s</w:t>
      </w:r>
      <w:r w:rsidR="611E76F9" w:rsidRPr="008C17AC">
        <w:rPr>
          <w:rFonts w:ascii="Times New Roman" w:eastAsia="Times New Roman" w:hAnsi="Times New Roman" w:cs="Times New Roman"/>
        </w:rPr>
        <w:t>”</w:t>
      </w:r>
      <w:r w:rsidRPr="008C17AC">
        <w:rPr>
          <w:rFonts w:ascii="Times New Roman" w:eastAsia="Times New Roman" w:hAnsi="Times New Roman" w:cs="Times New Roman"/>
        </w:rPr>
        <w:t xml:space="preserve"> based on the inclusion criteria</w:t>
      </w:r>
      <w:r w:rsidR="58D2BE03" w:rsidRPr="008C17AC">
        <w:rPr>
          <w:rFonts w:ascii="Times New Roman" w:eastAsia="Times New Roman" w:hAnsi="Times New Roman" w:cs="Times New Roman"/>
        </w:rPr>
        <w:t xml:space="preserve"> from the study team</w:t>
      </w:r>
      <w:r w:rsidR="72A13494" w:rsidRPr="008C17AC">
        <w:rPr>
          <w:rFonts w:ascii="Times New Roman" w:eastAsia="Times New Roman" w:hAnsi="Times New Roman" w:cs="Times New Roman"/>
        </w:rPr>
        <w:t xml:space="preserve"> and </w:t>
      </w:r>
      <w:r w:rsidR="00EF71D8" w:rsidRPr="008C17AC">
        <w:rPr>
          <w:rFonts w:ascii="Times New Roman" w:eastAsia="Times New Roman" w:hAnsi="Times New Roman" w:cs="Times New Roman"/>
        </w:rPr>
        <w:t xml:space="preserve">a </w:t>
      </w:r>
      <w:r w:rsidR="72A13494" w:rsidRPr="008C17AC">
        <w:rPr>
          <w:rFonts w:ascii="Times New Roman" w:eastAsia="Times New Roman" w:hAnsi="Times New Roman" w:cs="Times New Roman"/>
        </w:rPr>
        <w:t xml:space="preserve">broader </w:t>
      </w:r>
      <w:r w:rsidR="00EF71D8" w:rsidRPr="008C17AC">
        <w:rPr>
          <w:rFonts w:ascii="Times New Roman" w:eastAsia="Times New Roman" w:hAnsi="Times New Roman" w:cs="Times New Roman"/>
        </w:rPr>
        <w:t>group of experts</w:t>
      </w:r>
      <w:r w:rsidR="72A13494" w:rsidRPr="008C17AC">
        <w:rPr>
          <w:rFonts w:ascii="Times New Roman" w:eastAsia="Times New Roman" w:hAnsi="Times New Roman" w:cs="Times New Roman"/>
        </w:rPr>
        <w:t xml:space="preserve"> to develop and validat</w:t>
      </w:r>
      <w:r w:rsidR="00A3407B" w:rsidRPr="008C17AC">
        <w:rPr>
          <w:rFonts w:ascii="Times New Roman" w:eastAsia="Times New Roman" w:hAnsi="Times New Roman" w:cs="Times New Roman"/>
        </w:rPr>
        <w:t>e</w:t>
      </w:r>
      <w:r w:rsidR="72A13494" w:rsidRPr="008C17AC">
        <w:rPr>
          <w:rFonts w:ascii="Times New Roman" w:eastAsia="Times New Roman" w:hAnsi="Times New Roman" w:cs="Times New Roman"/>
        </w:rPr>
        <w:t xml:space="preserve"> the search quer</w:t>
      </w:r>
      <w:r w:rsidR="00A3407B" w:rsidRPr="008C17AC">
        <w:rPr>
          <w:rFonts w:ascii="Times New Roman" w:eastAsia="Times New Roman" w:hAnsi="Times New Roman" w:cs="Times New Roman"/>
        </w:rPr>
        <w:t>ies</w:t>
      </w:r>
      <w:r w:rsidR="796CCD6F" w:rsidRPr="008C17AC">
        <w:rPr>
          <w:rFonts w:ascii="Times New Roman" w:eastAsia="Times New Roman" w:hAnsi="Times New Roman" w:cs="Times New Roman"/>
        </w:rPr>
        <w:t>.</w:t>
      </w:r>
      <w:r w:rsidR="0893B6DD" w:rsidRPr="008C17AC">
        <w:rPr>
          <w:rFonts w:ascii="Times New Roman" w:eastAsia="Times New Roman" w:hAnsi="Times New Roman" w:cs="Times New Roman"/>
        </w:rPr>
        <w:t xml:space="preserve"> </w:t>
      </w:r>
      <w:r w:rsidR="6E93B1D1" w:rsidRPr="008C17AC">
        <w:rPr>
          <w:rFonts w:ascii="Times New Roman" w:eastAsia="Times New Roman" w:hAnsi="Times New Roman" w:cs="Times New Roman"/>
        </w:rPr>
        <w:t>This process initially identified five key articles. These were then subjected to citation coupling using the Connected Papers tool</w:t>
      </w:r>
      <w:r w:rsidR="00862AD8" w:rsidRPr="008C17AC">
        <w:rPr>
          <w:rFonts w:ascii="Times New Roman" w:eastAsia="Times New Roman" w:hAnsi="Times New Roman" w:cs="Times New Roman"/>
        </w:rPr>
        <w:t xml:space="preserve"> (https://www.connectedpapers.com/)</w:t>
      </w:r>
      <w:r w:rsidR="6E93B1D1" w:rsidRPr="008C17AC">
        <w:rPr>
          <w:rFonts w:ascii="Times New Roman" w:eastAsia="Times New Roman" w:hAnsi="Times New Roman" w:cs="Times New Roman"/>
        </w:rPr>
        <w:t xml:space="preserve">, which led to the identification of an additional eight key articles, ensuring a robust set of key articles. </w:t>
      </w:r>
      <w:r w:rsidR="1E4B2D24" w:rsidRPr="008C17AC">
        <w:rPr>
          <w:rFonts w:ascii="Times New Roman" w:eastAsia="Times New Roman" w:hAnsi="Times New Roman" w:cs="Times New Roman"/>
        </w:rPr>
        <w:t>Throughout this phase, the number of articles was progressively reduced as we refined and discussed the inclusion criteria. Ultimately, only interventional articles were included to establish a definitive set of key articles. The intent was to base the search on articles that were unequivocally within scope, rather than those that were only partially relevant. This approach underscores the complexity of the project</w:t>
      </w:r>
      <w:r w:rsidR="00CB634B" w:rsidRPr="008C17AC">
        <w:rPr>
          <w:rFonts w:ascii="Times New Roman" w:eastAsia="Times New Roman" w:hAnsi="Times New Roman" w:cs="Times New Roman"/>
        </w:rPr>
        <w:t xml:space="preserve"> and</w:t>
      </w:r>
      <w:r w:rsidR="1E4B2D24" w:rsidRPr="008C17AC">
        <w:rPr>
          <w:rFonts w:ascii="Times New Roman" w:eastAsia="Times New Roman" w:hAnsi="Times New Roman" w:cs="Times New Roman"/>
        </w:rPr>
        <w:t xml:space="preserve"> highlight</w:t>
      </w:r>
      <w:r w:rsidR="00CB634B" w:rsidRPr="008C17AC">
        <w:rPr>
          <w:rFonts w:ascii="Times New Roman" w:eastAsia="Times New Roman" w:hAnsi="Times New Roman" w:cs="Times New Roman"/>
        </w:rPr>
        <w:t>s</w:t>
      </w:r>
      <w:r w:rsidR="1E4B2D24" w:rsidRPr="008C17AC">
        <w:rPr>
          <w:rFonts w:ascii="Times New Roman" w:eastAsia="Times New Roman" w:hAnsi="Times New Roman" w:cs="Times New Roman"/>
        </w:rPr>
        <w:t xml:space="preserve"> the challenge of defining clear boundaries within research definitions.</w:t>
      </w:r>
      <w:r w:rsidR="00EF71D8" w:rsidRPr="008C17AC">
        <w:rPr>
          <w:rFonts w:ascii="Times New Roman" w:eastAsia="Times New Roman" w:hAnsi="Times New Roman" w:cs="Times New Roman"/>
        </w:rPr>
        <w:t xml:space="preserve"> T</w:t>
      </w:r>
      <w:r w:rsidR="77DA7EB3" w:rsidRPr="008C17AC">
        <w:rPr>
          <w:rFonts w:ascii="Times New Roman" w:eastAsia="Times New Roman" w:hAnsi="Times New Roman" w:cs="Times New Roman"/>
        </w:rPr>
        <w:t>he</w:t>
      </w:r>
      <w:r w:rsidR="0709D4B3" w:rsidRPr="008C17AC">
        <w:rPr>
          <w:rFonts w:ascii="Times New Roman" w:eastAsia="Times New Roman" w:hAnsi="Times New Roman" w:cs="Times New Roman"/>
        </w:rPr>
        <w:t xml:space="preserve"> 15 key articles</w:t>
      </w:r>
      <w:r w:rsidR="77DA7EB3" w:rsidRPr="008C17AC">
        <w:rPr>
          <w:rFonts w:ascii="Times New Roman" w:eastAsia="Times New Roman" w:hAnsi="Times New Roman" w:cs="Times New Roman"/>
        </w:rPr>
        <w:t xml:space="preserve"> are available in a public</w:t>
      </w:r>
      <w:r w:rsidR="5ED69D15" w:rsidRPr="008C17AC">
        <w:rPr>
          <w:rFonts w:ascii="Times New Roman" w:eastAsia="Times New Roman" w:hAnsi="Times New Roman" w:cs="Times New Roman"/>
        </w:rPr>
        <w:t xml:space="preserve"> Zotero folder</w:t>
      </w:r>
      <w:r w:rsidR="6DE2930B" w:rsidRPr="008C17AC">
        <w:rPr>
          <w:rFonts w:ascii="Times New Roman" w:eastAsia="Times New Roman" w:hAnsi="Times New Roman" w:cs="Times New Roman"/>
        </w:rPr>
        <w:t xml:space="preserve"> </w:t>
      </w:r>
      <w:r w:rsidR="00694B0D" w:rsidRPr="008C17AC">
        <w:rPr>
          <w:rFonts w:ascii="Times New Roman" w:eastAsia="Times New Roman" w:hAnsi="Times New Roman" w:cs="Times New Roman"/>
        </w:rPr>
        <w:t>(</w:t>
      </w:r>
      <w:r w:rsidR="5ED69D15" w:rsidRPr="008C17AC">
        <w:rPr>
          <w:rFonts w:ascii="Times New Roman" w:eastAsia="Times New Roman" w:hAnsi="Times New Roman" w:cs="Times New Roman"/>
        </w:rPr>
        <w:t xml:space="preserve">https://www.zotero.org/groups/4983756/osirisconsortium/collections/5Q3IJKZ2). </w:t>
      </w:r>
    </w:p>
    <w:p w14:paraId="18631017" w14:textId="063AF2F0" w:rsidR="009D0FED" w:rsidRPr="008C17AC" w:rsidRDefault="1D5C0173" w:rsidP="23EF21E2">
      <w:pPr>
        <w:spacing w:after="120" w:line="360" w:lineRule="auto"/>
        <w:ind w:right="-20" w:firstLine="540"/>
        <w:rPr>
          <w:rFonts w:ascii="Times New Roman" w:eastAsia="Times New Roman" w:hAnsi="Times New Roman" w:cs="Times New Roman"/>
          <w:b/>
          <w:bCs/>
          <w:i/>
          <w:iCs/>
          <w:sz w:val="24"/>
          <w:szCs w:val="24"/>
        </w:rPr>
      </w:pPr>
      <w:r w:rsidRPr="008C17AC">
        <w:rPr>
          <w:rFonts w:ascii="Times New Roman" w:eastAsia="Times New Roman" w:hAnsi="Times New Roman" w:cs="Times New Roman"/>
          <w:b/>
          <w:bCs/>
          <w:i/>
          <w:iCs/>
          <w:sz w:val="24"/>
          <w:szCs w:val="24"/>
        </w:rPr>
        <w:t>Electronic search</w:t>
      </w:r>
    </w:p>
    <w:p w14:paraId="3D7AB91F" w14:textId="56C48446" w:rsidR="00B73157" w:rsidRPr="008C17AC" w:rsidRDefault="518E5FD9" w:rsidP="00B73157">
      <w:pPr>
        <w:spacing w:after="120" w:line="360" w:lineRule="auto"/>
        <w:ind w:right="-20" w:firstLine="540"/>
        <w:rPr>
          <w:rFonts w:ascii="Times New Roman" w:eastAsia="Times New Roman" w:hAnsi="Times New Roman" w:cs="Times New Roman"/>
        </w:rPr>
      </w:pPr>
      <w:r w:rsidRPr="008C17AC">
        <w:rPr>
          <w:rFonts w:ascii="Times New Roman" w:eastAsia="Times New Roman" w:hAnsi="Times New Roman" w:cs="Times New Roman"/>
        </w:rPr>
        <w:t>The electronic searches were done on</w:t>
      </w:r>
      <w:r w:rsidR="00694B0D" w:rsidRPr="008C17AC">
        <w:rPr>
          <w:rFonts w:ascii="Times New Roman" w:eastAsia="Times New Roman" w:hAnsi="Times New Roman" w:cs="Times New Roman"/>
        </w:rPr>
        <w:t xml:space="preserve"> </w:t>
      </w:r>
      <w:r w:rsidR="00682DDA" w:rsidRPr="008C17AC">
        <w:rPr>
          <w:rFonts w:ascii="Times New Roman" w:eastAsia="Times New Roman" w:hAnsi="Times New Roman" w:cs="Times New Roman"/>
        </w:rPr>
        <w:t xml:space="preserve">August 18, 2023. </w:t>
      </w:r>
      <w:r w:rsidR="377DEF91" w:rsidRPr="008C17AC">
        <w:rPr>
          <w:rFonts w:ascii="Times New Roman" w:eastAsia="Times New Roman" w:hAnsi="Times New Roman" w:cs="Times New Roman"/>
        </w:rPr>
        <w:t xml:space="preserve">We systematically searched </w:t>
      </w:r>
      <w:hyperlink r:id="rId21">
        <w:r w:rsidR="377DEF91" w:rsidRPr="008C17AC">
          <w:rPr>
            <w:rStyle w:val="Hyperlink"/>
            <w:rFonts w:ascii="Times New Roman" w:eastAsia="Times New Roman" w:hAnsi="Times New Roman" w:cs="Times New Roman"/>
            <w:color w:val="auto"/>
            <w:u w:val="none"/>
          </w:rPr>
          <w:t>Medline</w:t>
        </w:r>
      </w:hyperlink>
      <w:r w:rsidR="377DEF91" w:rsidRPr="008C17AC">
        <w:rPr>
          <w:rFonts w:ascii="Times New Roman" w:eastAsia="Times New Roman" w:hAnsi="Times New Roman" w:cs="Times New Roman"/>
        </w:rPr>
        <w:t xml:space="preserve">, </w:t>
      </w:r>
      <w:hyperlink r:id="rId22">
        <w:r w:rsidR="377DEF91" w:rsidRPr="008C17AC">
          <w:rPr>
            <w:rStyle w:val="Hyperlink"/>
            <w:rFonts w:ascii="Times New Roman" w:eastAsia="Times New Roman" w:hAnsi="Times New Roman" w:cs="Times New Roman"/>
            <w:color w:val="auto"/>
            <w:u w:val="none"/>
          </w:rPr>
          <w:t>Embase</w:t>
        </w:r>
      </w:hyperlink>
      <w:r w:rsidR="377DEF91" w:rsidRPr="008C17AC">
        <w:rPr>
          <w:rFonts w:ascii="Times New Roman" w:eastAsia="Times New Roman" w:hAnsi="Times New Roman" w:cs="Times New Roman"/>
        </w:rPr>
        <w:t xml:space="preserve">, </w:t>
      </w:r>
      <w:hyperlink r:id="rId23">
        <w:r w:rsidR="377DEF91" w:rsidRPr="008C17AC">
          <w:rPr>
            <w:rStyle w:val="Hyperlink"/>
            <w:rFonts w:ascii="Times New Roman" w:eastAsia="Times New Roman" w:hAnsi="Times New Roman" w:cs="Times New Roman"/>
            <w:color w:val="auto"/>
            <w:u w:val="none"/>
          </w:rPr>
          <w:t>Web of Science</w:t>
        </w:r>
      </w:hyperlink>
      <w:r w:rsidR="377DEF91" w:rsidRPr="008C17AC">
        <w:rPr>
          <w:rFonts w:ascii="Times New Roman" w:eastAsia="Times New Roman" w:hAnsi="Times New Roman" w:cs="Times New Roman"/>
        </w:rPr>
        <w:t xml:space="preserve">, </w:t>
      </w:r>
      <w:hyperlink r:id="rId24">
        <w:r w:rsidR="377DEF91" w:rsidRPr="008C17AC">
          <w:rPr>
            <w:rStyle w:val="Hyperlink"/>
            <w:rFonts w:ascii="Times New Roman" w:eastAsia="Times New Roman" w:hAnsi="Times New Roman" w:cs="Times New Roman"/>
            <w:color w:val="auto"/>
            <w:u w:val="none"/>
          </w:rPr>
          <w:t>PsycINFO</w:t>
        </w:r>
      </w:hyperlink>
      <w:r w:rsidR="377DEF91" w:rsidRPr="008C17AC">
        <w:rPr>
          <w:rFonts w:ascii="Times New Roman" w:eastAsia="Times New Roman" w:hAnsi="Times New Roman" w:cs="Times New Roman"/>
        </w:rPr>
        <w:t xml:space="preserve">, </w:t>
      </w:r>
      <w:hyperlink r:id="rId25">
        <w:r w:rsidR="377DEF91" w:rsidRPr="008C17AC">
          <w:rPr>
            <w:rStyle w:val="Hyperlink"/>
            <w:rFonts w:ascii="Times New Roman" w:eastAsia="Times New Roman" w:hAnsi="Times New Roman" w:cs="Times New Roman"/>
            <w:color w:val="auto"/>
            <w:u w:val="none"/>
          </w:rPr>
          <w:t>Scopus</w:t>
        </w:r>
      </w:hyperlink>
      <w:r w:rsidR="377DEF91" w:rsidRPr="008C17AC">
        <w:rPr>
          <w:rFonts w:ascii="Times New Roman" w:eastAsia="Times New Roman" w:hAnsi="Times New Roman" w:cs="Times New Roman"/>
        </w:rPr>
        <w:t xml:space="preserve"> and </w:t>
      </w:r>
      <w:hyperlink r:id="rId26">
        <w:r w:rsidR="377DEF91" w:rsidRPr="008C17AC">
          <w:rPr>
            <w:rStyle w:val="Hyperlink"/>
            <w:rFonts w:ascii="Times New Roman" w:eastAsia="Times New Roman" w:hAnsi="Times New Roman" w:cs="Times New Roman"/>
            <w:color w:val="auto"/>
            <w:u w:val="none"/>
          </w:rPr>
          <w:t>Eric</w:t>
        </w:r>
      </w:hyperlink>
      <w:r w:rsidR="377DEF91" w:rsidRPr="008C17AC">
        <w:rPr>
          <w:rFonts w:ascii="Times New Roman" w:eastAsia="Times New Roman" w:hAnsi="Times New Roman" w:cs="Times New Roman"/>
        </w:rPr>
        <w:t>.</w:t>
      </w:r>
      <w:r w:rsidR="5C6A0D0D" w:rsidRPr="008C17AC">
        <w:rPr>
          <w:rFonts w:ascii="Times New Roman" w:eastAsia="Times New Roman" w:hAnsi="Times New Roman" w:cs="Times New Roman"/>
        </w:rPr>
        <w:t xml:space="preserve"> </w:t>
      </w:r>
      <w:r w:rsidRPr="008C17AC">
        <w:rPr>
          <w:rFonts w:ascii="Times New Roman" w:eastAsia="Times New Roman" w:hAnsi="Times New Roman" w:cs="Times New Roman"/>
        </w:rPr>
        <w:t xml:space="preserve">All databases were searched from inception until </w:t>
      </w:r>
      <w:r w:rsidR="00682DDA" w:rsidRPr="008C17AC">
        <w:rPr>
          <w:rFonts w:ascii="Times New Roman" w:eastAsia="Times New Roman" w:hAnsi="Times New Roman" w:cs="Times New Roman"/>
        </w:rPr>
        <w:t>August 18, 2023.</w:t>
      </w:r>
      <w:r w:rsidRPr="008C17AC">
        <w:rPr>
          <w:rFonts w:ascii="Times New Roman" w:eastAsia="Times New Roman" w:hAnsi="Times New Roman" w:cs="Times New Roman"/>
        </w:rPr>
        <w:t xml:space="preserve"> </w:t>
      </w:r>
      <w:r w:rsidR="5C6A0D0D" w:rsidRPr="008C17AC">
        <w:rPr>
          <w:rFonts w:ascii="Times New Roman" w:eastAsia="Times New Roman" w:hAnsi="Times New Roman" w:cs="Times New Roman"/>
        </w:rPr>
        <w:t>The search string was initially developed for Medline and then translated to the other databases.</w:t>
      </w:r>
      <w:r w:rsidR="11DDADA1" w:rsidRPr="008C17AC">
        <w:rPr>
          <w:rFonts w:ascii="Times New Roman" w:eastAsia="Times New Roman" w:hAnsi="Times New Roman" w:cs="Times New Roman"/>
        </w:rPr>
        <w:t xml:space="preserve"> </w:t>
      </w:r>
      <w:r w:rsidR="33962627" w:rsidRPr="008C17AC">
        <w:rPr>
          <w:rFonts w:ascii="Times New Roman" w:eastAsia="Times New Roman" w:hAnsi="Times New Roman" w:cs="Times New Roman"/>
        </w:rPr>
        <w:t xml:space="preserve">An initial search was constructed to align with our research group's understanding of </w:t>
      </w:r>
      <w:r w:rsidR="33962627" w:rsidRPr="008C17AC">
        <w:rPr>
          <w:rFonts w:ascii="Times New Roman" w:eastAsia="Times New Roman" w:hAnsi="Times New Roman" w:cs="Times New Roman"/>
        </w:rPr>
        <w:lastRenderedPageBreak/>
        <w:t xml:space="preserve">the research question, yielding 16,930 references for screening. Following this initial screening, it was evident that certain topics were inadequately covered. Minor adjustments to the search strategy were implemented, resulting in an additional 472 references. After screening this initial batch, we discussed the outcomes and determined that the search did not adequately capture all areas of the research question. Consequently, a more sensitive search was developed to encompass the underrepresented topics from the initial results, aiming to achieve comprehensive coverage of the research question. This final search, while largely overlapping with the initial searches, introduced 18,661 </w:t>
      </w:r>
      <w:r w:rsidR="00D973F0" w:rsidRPr="008C17AC">
        <w:rPr>
          <w:rFonts w:ascii="Times New Roman" w:eastAsia="Times New Roman" w:hAnsi="Times New Roman" w:cs="Times New Roman"/>
        </w:rPr>
        <w:t xml:space="preserve">additional </w:t>
      </w:r>
      <w:r w:rsidR="33962627" w:rsidRPr="008C17AC">
        <w:rPr>
          <w:rFonts w:ascii="Times New Roman" w:eastAsia="Times New Roman" w:hAnsi="Times New Roman" w:cs="Times New Roman"/>
        </w:rPr>
        <w:t xml:space="preserve">unique references for screening </w:t>
      </w:r>
      <w:r w:rsidR="3C983ECF" w:rsidRPr="008C17AC">
        <w:rPr>
          <w:rFonts w:ascii="Times New Roman" w:eastAsia="Times New Roman" w:hAnsi="Times New Roman" w:cs="Times New Roman"/>
        </w:rPr>
        <w:t>leading to a total of</w:t>
      </w:r>
      <w:r w:rsidR="33962627" w:rsidRPr="008C17AC">
        <w:rPr>
          <w:rFonts w:ascii="Times New Roman" w:eastAsia="Times New Roman" w:hAnsi="Times New Roman" w:cs="Times New Roman"/>
        </w:rPr>
        <w:t xml:space="preserve"> 36</w:t>
      </w:r>
      <w:r w:rsidR="00D973F0" w:rsidRPr="008C17AC">
        <w:rPr>
          <w:rFonts w:ascii="Times New Roman" w:eastAsia="Times New Roman" w:hAnsi="Times New Roman" w:cs="Times New Roman"/>
        </w:rPr>
        <w:t>,</w:t>
      </w:r>
      <w:r w:rsidR="33962627" w:rsidRPr="008C17AC">
        <w:rPr>
          <w:rFonts w:ascii="Times New Roman" w:eastAsia="Times New Roman" w:hAnsi="Times New Roman" w:cs="Times New Roman"/>
        </w:rPr>
        <w:t>063 items for title and abstract screening.</w:t>
      </w:r>
      <w:r w:rsidR="00B73157" w:rsidRPr="008C17AC">
        <w:rPr>
          <w:rFonts w:ascii="Times New Roman" w:eastAsia="Times New Roman" w:hAnsi="Times New Roman" w:cs="Times New Roman"/>
        </w:rPr>
        <w:t xml:space="preserve"> The final search string</w:t>
      </w:r>
      <w:r w:rsidR="00503C30" w:rsidRPr="008C17AC">
        <w:rPr>
          <w:rFonts w:ascii="Times New Roman" w:eastAsia="Times New Roman" w:hAnsi="Times New Roman" w:cs="Times New Roman"/>
        </w:rPr>
        <w:t>s are</w:t>
      </w:r>
      <w:r w:rsidR="00B73157" w:rsidRPr="008C17AC">
        <w:rPr>
          <w:rFonts w:ascii="Times New Roman" w:eastAsia="Times New Roman" w:hAnsi="Times New Roman" w:cs="Times New Roman"/>
        </w:rPr>
        <w:t xml:space="preserve"> available in Supplementary File 2.</w:t>
      </w:r>
    </w:p>
    <w:p w14:paraId="1B174C0E" w14:textId="6B075A21" w:rsidR="73D3486F" w:rsidRPr="008C17AC" w:rsidRDefault="2E583A93" w:rsidP="47AB2BE1">
      <w:pPr>
        <w:spacing w:after="120" w:line="360" w:lineRule="auto"/>
        <w:ind w:right="-20" w:firstLine="567"/>
        <w:rPr>
          <w:rFonts w:ascii="Times New Roman" w:eastAsia="Times New Roman" w:hAnsi="Times New Roman" w:cs="Times New Roman"/>
          <w:b/>
          <w:bCs/>
          <w:i/>
          <w:iCs/>
        </w:rPr>
      </w:pPr>
      <w:r w:rsidRPr="008C17AC">
        <w:rPr>
          <w:rFonts w:ascii="Times New Roman" w:eastAsia="Times New Roman" w:hAnsi="Times New Roman" w:cs="Times New Roman"/>
          <w:b/>
          <w:bCs/>
          <w:i/>
          <w:iCs/>
        </w:rPr>
        <w:t>Other searches</w:t>
      </w:r>
    </w:p>
    <w:p w14:paraId="5893849A" w14:textId="5868AAD6" w:rsidR="73D3486F" w:rsidRPr="008C17AC" w:rsidRDefault="2BDBF41D" w:rsidP="23EF21E2">
      <w:pPr>
        <w:spacing w:after="120" w:line="360" w:lineRule="auto"/>
        <w:ind w:right="-20" w:firstLine="567"/>
        <w:rPr>
          <w:rFonts w:ascii="Times New Roman" w:eastAsia="Times New Roman" w:hAnsi="Times New Roman" w:cs="Times New Roman"/>
          <w:strike/>
        </w:rPr>
      </w:pPr>
      <w:r w:rsidRPr="008C17AC">
        <w:rPr>
          <w:rFonts w:ascii="Times New Roman" w:eastAsia="Times New Roman" w:hAnsi="Times New Roman" w:cs="Times New Roman"/>
        </w:rPr>
        <w:t xml:space="preserve"> We undertook an independent search for grey literature by reaching out to colleagues</w:t>
      </w:r>
      <w:r w:rsidR="007C7E5C" w:rsidRPr="008C17AC">
        <w:rPr>
          <w:rFonts w:ascii="Times New Roman" w:eastAsia="Times New Roman" w:hAnsi="Times New Roman" w:cs="Times New Roman"/>
        </w:rPr>
        <w:t xml:space="preserve"> in October and November 2023</w:t>
      </w:r>
      <w:r w:rsidR="63F4E861" w:rsidRPr="008C17AC">
        <w:rPr>
          <w:rFonts w:ascii="Times New Roman" w:eastAsia="Times New Roman" w:hAnsi="Times New Roman" w:cs="Times New Roman"/>
        </w:rPr>
        <w:t xml:space="preserve">, </w:t>
      </w:r>
      <w:r w:rsidR="00470A3F" w:rsidRPr="008C17AC">
        <w:rPr>
          <w:rFonts w:ascii="Times New Roman" w:eastAsia="Times New Roman" w:hAnsi="Times New Roman" w:cs="Times New Roman"/>
        </w:rPr>
        <w:t xml:space="preserve">with </w:t>
      </w:r>
      <w:r w:rsidR="390BAE94" w:rsidRPr="008C17AC">
        <w:rPr>
          <w:rFonts w:ascii="Times New Roman" w:eastAsia="Times New Roman" w:hAnsi="Times New Roman" w:cs="Times New Roman"/>
        </w:rPr>
        <w:t xml:space="preserve">e-mail </w:t>
      </w:r>
      <w:r w:rsidR="00470A3F" w:rsidRPr="008C17AC">
        <w:rPr>
          <w:rFonts w:ascii="Times New Roman" w:eastAsia="Times New Roman" w:hAnsi="Times New Roman" w:cs="Times New Roman"/>
        </w:rPr>
        <w:t>requests</w:t>
      </w:r>
      <w:r w:rsidR="390BAE94" w:rsidRPr="008C17AC">
        <w:rPr>
          <w:rFonts w:ascii="Times New Roman" w:eastAsia="Times New Roman" w:hAnsi="Times New Roman" w:cs="Times New Roman"/>
        </w:rPr>
        <w:t xml:space="preserve"> </w:t>
      </w:r>
      <w:r w:rsidR="007C7E5C" w:rsidRPr="008C17AC">
        <w:rPr>
          <w:rFonts w:ascii="Times New Roman" w:eastAsia="Times New Roman" w:hAnsi="Times New Roman" w:cs="Times New Roman"/>
        </w:rPr>
        <w:t>for</w:t>
      </w:r>
      <w:r w:rsidR="390BAE94" w:rsidRPr="008C17AC">
        <w:rPr>
          <w:rFonts w:ascii="Times New Roman" w:eastAsia="Times New Roman" w:hAnsi="Times New Roman" w:cs="Times New Roman"/>
        </w:rPr>
        <w:t xml:space="preserve"> </w:t>
      </w:r>
      <w:r w:rsidR="025DC505" w:rsidRPr="008C17AC">
        <w:rPr>
          <w:rFonts w:ascii="Times New Roman" w:eastAsia="Times New Roman" w:hAnsi="Times New Roman" w:cs="Times New Roman"/>
        </w:rPr>
        <w:t>any relevant non-academic publications</w:t>
      </w:r>
      <w:r w:rsidR="3731BC75" w:rsidRPr="008C17AC">
        <w:rPr>
          <w:rFonts w:ascii="Times New Roman" w:eastAsia="Times New Roman" w:hAnsi="Times New Roman" w:cs="Times New Roman"/>
        </w:rPr>
        <w:t xml:space="preserve"> </w:t>
      </w:r>
      <w:r w:rsidR="025DC505" w:rsidRPr="008C17AC">
        <w:rPr>
          <w:rFonts w:ascii="Times New Roman" w:eastAsia="Times New Roman" w:hAnsi="Times New Roman" w:cs="Times New Roman"/>
        </w:rPr>
        <w:t xml:space="preserve">that address </w:t>
      </w:r>
      <w:r w:rsidR="04A2A165" w:rsidRPr="008C17AC">
        <w:rPr>
          <w:rFonts w:ascii="Times New Roman" w:eastAsia="Times New Roman" w:hAnsi="Times New Roman" w:cs="Times New Roman"/>
        </w:rPr>
        <w:t>reproducibility</w:t>
      </w:r>
      <w:r w:rsidR="025DC505" w:rsidRPr="008C17AC">
        <w:rPr>
          <w:rFonts w:ascii="Times New Roman" w:eastAsia="Times New Roman" w:hAnsi="Times New Roman" w:cs="Times New Roman"/>
        </w:rPr>
        <w:t xml:space="preserve"> interventions. </w:t>
      </w:r>
    </w:p>
    <w:p w14:paraId="7794919B" w14:textId="0E503CEA" w:rsidR="031003D2" w:rsidRPr="008C17AC" w:rsidRDefault="031003D2" w:rsidP="23EF21E2">
      <w:pPr>
        <w:spacing w:after="120" w:line="360" w:lineRule="auto"/>
        <w:ind w:right="-20" w:firstLine="567"/>
        <w:rPr>
          <w:rFonts w:ascii="Times New Roman" w:eastAsia="Times New Roman" w:hAnsi="Times New Roman" w:cs="Times New Roman"/>
          <w:strike/>
        </w:rPr>
      </w:pPr>
    </w:p>
    <w:p w14:paraId="2CAC2B7B" w14:textId="305B283D" w:rsidR="1E959256" w:rsidRPr="008C17AC" w:rsidRDefault="0D5279E3" w:rsidP="23EF21E2">
      <w:pPr>
        <w:spacing w:after="120" w:line="360" w:lineRule="auto"/>
        <w:ind w:right="-20" w:firstLine="567"/>
        <w:rPr>
          <w:rFonts w:ascii="Times New Roman" w:eastAsia="Times New Roman" w:hAnsi="Times New Roman" w:cs="Times New Roman"/>
          <w:b/>
          <w:bCs/>
        </w:rPr>
      </w:pPr>
      <w:r w:rsidRPr="008C17AC">
        <w:rPr>
          <w:rFonts w:ascii="Times New Roman" w:eastAsia="Times New Roman" w:hAnsi="Times New Roman" w:cs="Times New Roman"/>
          <w:b/>
          <w:bCs/>
        </w:rPr>
        <w:t>Selection process</w:t>
      </w:r>
    </w:p>
    <w:p w14:paraId="62192173" w14:textId="53546EB7" w:rsidR="1B314FCF" w:rsidRPr="008C17AC" w:rsidRDefault="001A36DC" w:rsidP="23EF21E2">
      <w:pPr>
        <w:spacing w:after="120" w:line="360" w:lineRule="auto"/>
        <w:ind w:right="-20" w:firstLine="567"/>
        <w:rPr>
          <w:rFonts w:ascii="Times New Roman" w:eastAsia="Times New Roman" w:hAnsi="Times New Roman" w:cs="Times New Roman"/>
        </w:rPr>
      </w:pPr>
      <w:r w:rsidRPr="008C17AC">
        <w:rPr>
          <w:rFonts w:ascii="Times New Roman" w:eastAsia="Times New Roman" w:hAnsi="Times New Roman" w:cs="Times New Roman"/>
        </w:rPr>
        <w:t xml:space="preserve">All search results were collected in </w:t>
      </w:r>
      <w:hyperlink r:id="rId27">
        <w:r w:rsidRPr="008C17AC">
          <w:rPr>
            <w:rStyle w:val="Hyperlink"/>
            <w:rFonts w:ascii="Times New Roman" w:eastAsia="Times New Roman" w:hAnsi="Times New Roman" w:cs="Times New Roman"/>
            <w:color w:val="auto"/>
          </w:rPr>
          <w:t>EndNote</w:t>
        </w:r>
      </w:hyperlink>
      <w:r w:rsidRPr="008C17AC">
        <w:rPr>
          <w:rFonts w:ascii="Times New Roman" w:eastAsia="Times New Roman" w:hAnsi="Times New Roman" w:cs="Times New Roman"/>
        </w:rPr>
        <w:t xml:space="preserve"> 20 and duplicate references were removed using the software’s deduplication </w:t>
      </w:r>
      <w:r w:rsidR="00B9504E" w:rsidRPr="008C17AC">
        <w:rPr>
          <w:rFonts w:ascii="Times New Roman" w:eastAsia="Times New Roman" w:hAnsi="Times New Roman" w:cs="Times New Roman"/>
        </w:rPr>
        <w:t>tool (http://dedupendnote.nl/)</w:t>
      </w:r>
      <w:r w:rsidRPr="008C17AC">
        <w:rPr>
          <w:rFonts w:ascii="Times New Roman" w:eastAsia="Times New Roman" w:hAnsi="Times New Roman" w:cs="Times New Roman"/>
        </w:rPr>
        <w:t xml:space="preserve">. Any remaining duplicated were excluded manually during screening in EPPI Reviewer. At least two authors </w:t>
      </w:r>
      <w:r w:rsidR="005E5F4A" w:rsidRPr="008C17AC">
        <w:rPr>
          <w:rFonts w:ascii="Times New Roman" w:eastAsia="Times New Roman" w:hAnsi="Times New Roman" w:cs="Times New Roman"/>
        </w:rPr>
        <w:t xml:space="preserve">independently </w:t>
      </w:r>
      <w:r w:rsidRPr="008C17AC">
        <w:rPr>
          <w:rFonts w:ascii="Times New Roman" w:eastAsia="Times New Roman" w:hAnsi="Times New Roman" w:cs="Times New Roman"/>
        </w:rPr>
        <w:t xml:space="preserve">screened the reference lists of relevant reviews for relevant studies that were not discovered in other searches. </w:t>
      </w:r>
      <w:r w:rsidR="7E166A53" w:rsidRPr="008C17AC">
        <w:rPr>
          <w:rFonts w:ascii="Times New Roman" w:eastAsia="Times New Roman" w:hAnsi="Times New Roman" w:cs="Times New Roman"/>
        </w:rPr>
        <w:t xml:space="preserve">The records identified with our search strategy were first screened </w:t>
      </w:r>
      <w:r w:rsidR="2693861C" w:rsidRPr="008C17AC">
        <w:rPr>
          <w:rFonts w:ascii="Times New Roman" w:eastAsia="Times New Roman" w:hAnsi="Times New Roman" w:cs="Times New Roman"/>
        </w:rPr>
        <w:t xml:space="preserve">for eligibility </w:t>
      </w:r>
      <w:r w:rsidR="7E166A53" w:rsidRPr="008C17AC">
        <w:rPr>
          <w:rFonts w:ascii="Times New Roman" w:eastAsia="Times New Roman" w:hAnsi="Times New Roman" w:cs="Times New Roman"/>
        </w:rPr>
        <w:t xml:space="preserve">based on the title and abstract and then by reading the full manuscript. </w:t>
      </w:r>
      <w:r w:rsidR="6FE0AD5F" w:rsidRPr="008C17AC">
        <w:rPr>
          <w:rFonts w:ascii="Times New Roman" w:eastAsia="Times New Roman" w:hAnsi="Times New Roman" w:cs="Times New Roman"/>
        </w:rPr>
        <w:t xml:space="preserve">The exact process is described in </w:t>
      </w:r>
      <w:r w:rsidR="7084926A" w:rsidRPr="008C17AC">
        <w:rPr>
          <w:rFonts w:ascii="Times New Roman" w:eastAsia="Times New Roman" w:hAnsi="Times New Roman" w:cs="Times New Roman"/>
        </w:rPr>
        <w:t>further</w:t>
      </w:r>
      <w:r w:rsidR="6FE0AD5F" w:rsidRPr="008C17AC">
        <w:rPr>
          <w:rFonts w:ascii="Times New Roman" w:eastAsia="Times New Roman" w:hAnsi="Times New Roman" w:cs="Times New Roman"/>
        </w:rPr>
        <w:t xml:space="preserve"> detail below</w:t>
      </w:r>
      <w:r w:rsidR="0B3C7067" w:rsidRPr="008C17AC">
        <w:rPr>
          <w:rFonts w:ascii="Times New Roman" w:eastAsia="Times New Roman" w:hAnsi="Times New Roman" w:cs="Times New Roman"/>
        </w:rPr>
        <w:t>.</w:t>
      </w:r>
    </w:p>
    <w:p w14:paraId="68791CCE" w14:textId="7FD72FFF" w:rsidR="009D0FED" w:rsidRPr="008C17AC" w:rsidRDefault="1A57122D" w:rsidP="47AB2BE1">
      <w:pPr>
        <w:spacing w:after="120" w:line="360" w:lineRule="auto"/>
        <w:ind w:firstLine="567"/>
        <w:rPr>
          <w:rFonts w:ascii="Times New Roman" w:eastAsia="Times New Roman" w:hAnsi="Times New Roman" w:cs="Times New Roman"/>
          <w:b/>
          <w:bCs/>
          <w:i/>
          <w:iCs/>
        </w:rPr>
      </w:pPr>
      <w:r w:rsidRPr="008C17AC">
        <w:rPr>
          <w:rFonts w:ascii="Times New Roman" w:eastAsia="Times New Roman" w:hAnsi="Times New Roman" w:cs="Times New Roman"/>
          <w:b/>
          <w:bCs/>
          <w:i/>
          <w:iCs/>
        </w:rPr>
        <w:t>T</w:t>
      </w:r>
      <w:r w:rsidR="60D3DE4B" w:rsidRPr="008C17AC">
        <w:rPr>
          <w:rFonts w:ascii="Times New Roman" w:eastAsia="Times New Roman" w:hAnsi="Times New Roman" w:cs="Times New Roman"/>
          <w:b/>
          <w:bCs/>
          <w:i/>
          <w:iCs/>
        </w:rPr>
        <w:t>itle and abstract screening</w:t>
      </w:r>
    </w:p>
    <w:p w14:paraId="680A13B2" w14:textId="2B10921F" w:rsidR="009D0FED" w:rsidRPr="008C17AC" w:rsidRDefault="3D92F5C7" w:rsidP="23EF21E2">
      <w:pPr>
        <w:spacing w:after="120" w:line="360" w:lineRule="auto"/>
        <w:ind w:firstLine="567"/>
        <w:rPr>
          <w:rFonts w:ascii="Times New Roman" w:eastAsia="Times New Roman" w:hAnsi="Times New Roman" w:cs="Times New Roman"/>
        </w:rPr>
      </w:pPr>
      <w:r w:rsidRPr="008C17AC">
        <w:rPr>
          <w:rFonts w:ascii="Times New Roman" w:eastAsia="Times New Roman" w:hAnsi="Times New Roman" w:cs="Times New Roman"/>
        </w:rPr>
        <w:t>T</w:t>
      </w:r>
      <w:r w:rsidR="002C6E6B" w:rsidRPr="008C17AC">
        <w:rPr>
          <w:rFonts w:ascii="Times New Roman" w:eastAsia="Times New Roman" w:hAnsi="Times New Roman" w:cs="Times New Roman"/>
        </w:rPr>
        <w:t>he t</w:t>
      </w:r>
      <w:r w:rsidRPr="008C17AC">
        <w:rPr>
          <w:rFonts w:ascii="Times New Roman" w:eastAsia="Times New Roman" w:hAnsi="Times New Roman" w:cs="Times New Roman"/>
        </w:rPr>
        <w:t xml:space="preserve">itle and </w:t>
      </w:r>
      <w:r w:rsidR="38139B88" w:rsidRPr="008C17AC">
        <w:rPr>
          <w:rFonts w:ascii="Times New Roman" w:eastAsia="Times New Roman" w:hAnsi="Times New Roman" w:cs="Times New Roman"/>
        </w:rPr>
        <w:t>a</w:t>
      </w:r>
      <w:r w:rsidRPr="008C17AC">
        <w:rPr>
          <w:rFonts w:ascii="Times New Roman" w:eastAsia="Times New Roman" w:hAnsi="Times New Roman" w:cs="Times New Roman"/>
        </w:rPr>
        <w:t>bstract screening was done by L.D., E.K., M.K., N.</w:t>
      </w:r>
      <w:r w:rsidR="5325596D" w:rsidRPr="008C17AC">
        <w:rPr>
          <w:rFonts w:ascii="Times New Roman" w:eastAsia="Times New Roman" w:hAnsi="Times New Roman" w:cs="Times New Roman"/>
        </w:rPr>
        <w:t>J.D,</w:t>
      </w:r>
      <w:r w:rsidR="4CC20F00" w:rsidRPr="008C17AC">
        <w:rPr>
          <w:rFonts w:ascii="Times New Roman" w:eastAsia="Times New Roman" w:hAnsi="Times New Roman" w:cs="Times New Roman"/>
        </w:rPr>
        <w:t>, T.R</w:t>
      </w:r>
      <w:r w:rsidR="34D8E1F4" w:rsidRPr="008C17AC">
        <w:rPr>
          <w:rFonts w:ascii="Times New Roman" w:eastAsia="Times New Roman" w:hAnsi="Times New Roman" w:cs="Times New Roman"/>
        </w:rPr>
        <w:t>-H., V.V.d.E</w:t>
      </w:r>
      <w:r w:rsidR="4CC20F00" w:rsidRPr="008C17AC">
        <w:rPr>
          <w:rFonts w:ascii="Times New Roman" w:eastAsia="Times New Roman" w:hAnsi="Times New Roman" w:cs="Times New Roman"/>
        </w:rPr>
        <w:t>., and M.L</w:t>
      </w:r>
      <w:r w:rsidR="000D5617" w:rsidRPr="008C17AC">
        <w:rPr>
          <w:rFonts w:ascii="Times New Roman" w:eastAsia="Times New Roman" w:hAnsi="Times New Roman" w:cs="Times New Roman"/>
        </w:rPr>
        <w:t xml:space="preserve"> using Eppi Reviewer software</w:t>
      </w:r>
      <w:r w:rsidR="4CC20F00" w:rsidRPr="008C17AC">
        <w:rPr>
          <w:rFonts w:ascii="Times New Roman" w:eastAsia="Times New Roman" w:hAnsi="Times New Roman" w:cs="Times New Roman"/>
        </w:rPr>
        <w:t>.</w:t>
      </w:r>
      <w:r w:rsidR="209372C7" w:rsidRPr="008C17AC">
        <w:rPr>
          <w:rFonts w:ascii="Times New Roman" w:eastAsia="Times New Roman" w:hAnsi="Times New Roman" w:cs="Times New Roman"/>
        </w:rPr>
        <w:t xml:space="preserve"> </w:t>
      </w:r>
      <w:r w:rsidR="4CC20F00" w:rsidRPr="008C17AC">
        <w:rPr>
          <w:rFonts w:ascii="Times New Roman" w:eastAsia="Times New Roman" w:hAnsi="Times New Roman" w:cs="Times New Roman"/>
        </w:rPr>
        <w:t xml:space="preserve">Initially, we planned to do the title and abstract screening in duplicate. </w:t>
      </w:r>
      <w:r w:rsidR="4E931DA3" w:rsidRPr="008C17AC">
        <w:rPr>
          <w:rFonts w:ascii="Times New Roman" w:eastAsia="Times New Roman" w:hAnsi="Times New Roman" w:cs="Times New Roman"/>
        </w:rPr>
        <w:t>However, d</w:t>
      </w:r>
      <w:r w:rsidR="478B9386" w:rsidRPr="008C17AC">
        <w:rPr>
          <w:rFonts w:ascii="Times New Roman" w:eastAsia="Times New Roman" w:hAnsi="Times New Roman" w:cs="Times New Roman"/>
        </w:rPr>
        <w:t xml:space="preserve">ue to the large volume of articles we opted for a single screening approach. </w:t>
      </w:r>
      <w:r w:rsidR="14E31238" w:rsidRPr="008C17AC">
        <w:rPr>
          <w:rFonts w:ascii="Times New Roman" w:eastAsia="Times New Roman" w:hAnsi="Times New Roman" w:cs="Times New Roman"/>
        </w:rPr>
        <w:t>Each assessor marked each title and abstract as</w:t>
      </w:r>
      <w:r w:rsidR="39B3CD8C" w:rsidRPr="008C17AC">
        <w:rPr>
          <w:rFonts w:ascii="Times New Roman" w:eastAsia="Times New Roman" w:hAnsi="Times New Roman" w:cs="Times New Roman"/>
        </w:rPr>
        <w:t xml:space="preserve"> </w:t>
      </w:r>
      <w:r w:rsidR="39B3CD8C" w:rsidRPr="008C17AC">
        <w:rPr>
          <w:rFonts w:ascii="Times New Roman" w:eastAsia="Times New Roman" w:hAnsi="Times New Roman" w:cs="Times New Roman"/>
          <w:i/>
          <w:iCs/>
        </w:rPr>
        <w:t>Include</w:t>
      </w:r>
      <w:r w:rsidR="39B3CD8C" w:rsidRPr="008C17AC">
        <w:rPr>
          <w:rFonts w:ascii="Times New Roman" w:eastAsia="Times New Roman" w:hAnsi="Times New Roman" w:cs="Times New Roman"/>
        </w:rPr>
        <w:t xml:space="preserve">, </w:t>
      </w:r>
      <w:r w:rsidR="39B3CD8C" w:rsidRPr="008C17AC">
        <w:rPr>
          <w:rFonts w:ascii="Times New Roman" w:eastAsia="Times New Roman" w:hAnsi="Times New Roman" w:cs="Times New Roman"/>
          <w:i/>
          <w:iCs/>
        </w:rPr>
        <w:t>Exclude</w:t>
      </w:r>
      <w:r w:rsidR="39B3CD8C" w:rsidRPr="008C17AC">
        <w:rPr>
          <w:rFonts w:ascii="Times New Roman" w:eastAsia="Times New Roman" w:hAnsi="Times New Roman" w:cs="Times New Roman"/>
        </w:rPr>
        <w:t xml:space="preserve">, </w:t>
      </w:r>
      <w:r w:rsidR="2BCA64FF" w:rsidRPr="008C17AC">
        <w:rPr>
          <w:rFonts w:ascii="Times New Roman" w:eastAsia="Times New Roman" w:hAnsi="Times New Roman" w:cs="Times New Roman"/>
        </w:rPr>
        <w:t>or</w:t>
      </w:r>
      <w:r w:rsidR="39B3CD8C" w:rsidRPr="008C17AC">
        <w:rPr>
          <w:rFonts w:ascii="Times New Roman" w:eastAsia="Times New Roman" w:hAnsi="Times New Roman" w:cs="Times New Roman"/>
        </w:rPr>
        <w:t xml:space="preserve"> </w:t>
      </w:r>
      <w:r w:rsidR="39B3CD8C" w:rsidRPr="008C17AC">
        <w:rPr>
          <w:rFonts w:ascii="Times New Roman" w:eastAsia="Times New Roman" w:hAnsi="Times New Roman" w:cs="Times New Roman"/>
          <w:i/>
          <w:iCs/>
        </w:rPr>
        <w:t>Maybe</w:t>
      </w:r>
      <w:r w:rsidR="39B3CD8C" w:rsidRPr="008C17AC">
        <w:rPr>
          <w:rFonts w:ascii="Times New Roman" w:eastAsia="Times New Roman" w:hAnsi="Times New Roman" w:cs="Times New Roman"/>
        </w:rPr>
        <w:t xml:space="preserve">. The articles that were marked as </w:t>
      </w:r>
      <w:r w:rsidR="39B3CD8C" w:rsidRPr="008C17AC">
        <w:rPr>
          <w:rFonts w:ascii="Times New Roman" w:eastAsia="Times New Roman" w:hAnsi="Times New Roman" w:cs="Times New Roman"/>
          <w:i/>
          <w:iCs/>
        </w:rPr>
        <w:t>Maybe</w:t>
      </w:r>
      <w:r w:rsidR="39B3CD8C" w:rsidRPr="008C17AC">
        <w:rPr>
          <w:rFonts w:ascii="Times New Roman" w:eastAsia="Times New Roman" w:hAnsi="Times New Roman" w:cs="Times New Roman"/>
        </w:rPr>
        <w:t>, were then double-checked</w:t>
      </w:r>
      <w:r w:rsidR="6C01497F" w:rsidRPr="008C17AC">
        <w:rPr>
          <w:rFonts w:ascii="Times New Roman" w:eastAsia="Times New Roman" w:hAnsi="Times New Roman" w:cs="Times New Roman"/>
        </w:rPr>
        <w:t xml:space="preserve"> </w:t>
      </w:r>
      <w:r w:rsidR="39B3CD8C" w:rsidRPr="008C17AC">
        <w:rPr>
          <w:rFonts w:ascii="Times New Roman" w:eastAsia="Times New Roman" w:hAnsi="Times New Roman" w:cs="Times New Roman"/>
        </w:rPr>
        <w:t xml:space="preserve">by </w:t>
      </w:r>
      <w:r w:rsidR="04A1DBEF" w:rsidRPr="008C17AC">
        <w:rPr>
          <w:rFonts w:ascii="Times New Roman" w:eastAsia="Times New Roman" w:hAnsi="Times New Roman" w:cs="Times New Roman"/>
        </w:rPr>
        <w:t>one of the senior authors</w:t>
      </w:r>
      <w:r w:rsidR="06C47B55" w:rsidRPr="008C17AC">
        <w:rPr>
          <w:rFonts w:ascii="Times New Roman" w:eastAsia="Times New Roman" w:hAnsi="Times New Roman" w:cs="Times New Roman"/>
        </w:rPr>
        <w:t>.</w:t>
      </w:r>
      <w:r w:rsidR="39B3CD8C" w:rsidRPr="008C17AC">
        <w:rPr>
          <w:rFonts w:ascii="Times New Roman" w:eastAsia="Times New Roman" w:hAnsi="Times New Roman" w:cs="Times New Roman"/>
        </w:rPr>
        <w:t xml:space="preserve"> </w:t>
      </w:r>
    </w:p>
    <w:p w14:paraId="5DEB4B50" w14:textId="385290ED" w:rsidR="009D0FED" w:rsidRPr="008C17AC" w:rsidRDefault="14154222" w:rsidP="23EF21E2">
      <w:pPr>
        <w:spacing w:after="120" w:line="360" w:lineRule="auto"/>
        <w:ind w:right="-20" w:firstLine="567"/>
        <w:rPr>
          <w:rFonts w:ascii="Times New Roman" w:eastAsia="Times New Roman" w:hAnsi="Times New Roman" w:cs="Times New Roman"/>
          <w:b/>
          <w:bCs/>
        </w:rPr>
      </w:pPr>
      <w:r w:rsidRPr="008C17AC">
        <w:rPr>
          <w:rFonts w:ascii="Times New Roman" w:eastAsia="Times New Roman" w:hAnsi="Times New Roman" w:cs="Times New Roman"/>
          <w:b/>
          <w:bCs/>
        </w:rPr>
        <w:t>Full text screening</w:t>
      </w:r>
    </w:p>
    <w:p w14:paraId="6F8AC9FD" w14:textId="35C284AE" w:rsidR="7DA19A5D" w:rsidRPr="008C17AC" w:rsidRDefault="2F4B0EE6" w:rsidP="002C6E6B">
      <w:pPr>
        <w:spacing w:after="120" w:line="360" w:lineRule="auto"/>
        <w:ind w:firstLine="567"/>
        <w:rPr>
          <w:rFonts w:ascii="Times New Roman" w:eastAsia="Times New Roman" w:hAnsi="Times New Roman" w:cs="Times New Roman"/>
        </w:rPr>
      </w:pPr>
      <w:r w:rsidRPr="008C17AC">
        <w:rPr>
          <w:rFonts w:ascii="Times New Roman" w:eastAsia="Times New Roman" w:hAnsi="Times New Roman" w:cs="Times New Roman"/>
        </w:rPr>
        <w:t xml:space="preserve">For articles that passed title and abstract screening, the </w:t>
      </w:r>
      <w:r w:rsidR="3B834440" w:rsidRPr="008C17AC">
        <w:rPr>
          <w:rFonts w:ascii="Times New Roman" w:eastAsia="Times New Roman" w:hAnsi="Times New Roman" w:cs="Times New Roman"/>
        </w:rPr>
        <w:t>full text</w:t>
      </w:r>
      <w:r w:rsidRPr="008C17AC">
        <w:rPr>
          <w:rFonts w:ascii="Times New Roman" w:eastAsia="Times New Roman" w:hAnsi="Times New Roman" w:cs="Times New Roman"/>
        </w:rPr>
        <w:t xml:space="preserve"> was</w:t>
      </w:r>
      <w:r w:rsidR="000E646D" w:rsidRPr="008C17AC">
        <w:rPr>
          <w:rFonts w:ascii="Times New Roman" w:eastAsia="Times New Roman" w:hAnsi="Times New Roman" w:cs="Times New Roman"/>
        </w:rPr>
        <w:t xml:space="preserve"> retrieved and </w:t>
      </w:r>
      <w:r w:rsidRPr="008C17AC">
        <w:rPr>
          <w:rFonts w:ascii="Times New Roman" w:eastAsia="Times New Roman" w:hAnsi="Times New Roman" w:cs="Times New Roman"/>
        </w:rPr>
        <w:t xml:space="preserve">reviewed by at least two members of the study team </w:t>
      </w:r>
      <w:r w:rsidR="000E646D" w:rsidRPr="008C17AC">
        <w:rPr>
          <w:rFonts w:ascii="Times New Roman" w:eastAsia="Times New Roman" w:hAnsi="Times New Roman" w:cs="Times New Roman"/>
        </w:rPr>
        <w:t xml:space="preserve">independently </w:t>
      </w:r>
      <w:r w:rsidRPr="008C17AC">
        <w:rPr>
          <w:rFonts w:ascii="Times New Roman" w:eastAsia="Times New Roman" w:hAnsi="Times New Roman" w:cs="Times New Roman"/>
        </w:rPr>
        <w:t xml:space="preserve">to determine final eligibility for the review. </w:t>
      </w:r>
      <w:r w:rsidR="67D55500" w:rsidRPr="008C17AC">
        <w:rPr>
          <w:rFonts w:ascii="Times New Roman" w:eastAsia="Times New Roman" w:hAnsi="Times New Roman" w:cs="Times New Roman"/>
        </w:rPr>
        <w:t>Full-text screening was conducted by authors</w:t>
      </w:r>
      <w:r w:rsidR="2B29C78C" w:rsidRPr="008C17AC">
        <w:rPr>
          <w:rFonts w:ascii="Times New Roman" w:eastAsia="Times New Roman" w:hAnsi="Times New Roman" w:cs="Times New Roman"/>
        </w:rPr>
        <w:t xml:space="preserve"> </w:t>
      </w:r>
      <w:r w:rsidR="5A076B00" w:rsidRPr="008C17AC">
        <w:rPr>
          <w:rFonts w:ascii="Times New Roman" w:eastAsia="Times New Roman" w:hAnsi="Times New Roman" w:cs="Times New Roman"/>
        </w:rPr>
        <w:t xml:space="preserve">L.D., E.K., M.K., N.J.D, T.K., A.P.M.D, V.V.d.E, T.R.H., M.L and </w:t>
      </w:r>
      <w:r w:rsidR="10323ACD" w:rsidRPr="008C17AC">
        <w:rPr>
          <w:rFonts w:ascii="Times New Roman" w:eastAsia="Times New Roman" w:hAnsi="Times New Roman" w:cs="Times New Roman"/>
        </w:rPr>
        <w:t>additional contributors</w:t>
      </w:r>
      <w:r w:rsidR="5A076B00" w:rsidRPr="008C17AC">
        <w:rPr>
          <w:rFonts w:ascii="Times New Roman" w:eastAsia="Times New Roman" w:hAnsi="Times New Roman" w:cs="Times New Roman"/>
        </w:rPr>
        <w:t xml:space="preserve"> (see Acknowledgements)</w:t>
      </w:r>
      <w:r w:rsidR="2279BBB9" w:rsidRPr="008C17AC">
        <w:rPr>
          <w:rFonts w:ascii="Times New Roman" w:eastAsia="Times New Roman" w:hAnsi="Times New Roman" w:cs="Times New Roman"/>
        </w:rPr>
        <w:t>. Disagreements</w:t>
      </w:r>
      <w:r w:rsidR="034386EC" w:rsidRPr="008C17AC">
        <w:rPr>
          <w:rFonts w:ascii="Times New Roman" w:eastAsia="Times New Roman" w:hAnsi="Times New Roman" w:cs="Times New Roman"/>
        </w:rPr>
        <w:t xml:space="preserve"> during screening</w:t>
      </w:r>
      <w:r w:rsidR="2279BBB9" w:rsidRPr="008C17AC">
        <w:rPr>
          <w:rFonts w:ascii="Times New Roman" w:eastAsia="Times New Roman" w:hAnsi="Times New Roman" w:cs="Times New Roman"/>
        </w:rPr>
        <w:t xml:space="preserve"> </w:t>
      </w:r>
      <w:r w:rsidR="2279BBB9" w:rsidRPr="008C17AC">
        <w:rPr>
          <w:rFonts w:ascii="Times New Roman" w:eastAsia="Times New Roman" w:hAnsi="Times New Roman" w:cs="Times New Roman"/>
        </w:rPr>
        <w:lastRenderedPageBreak/>
        <w:t>were solved by the senior authors T.R-H., M.L. and V</w:t>
      </w:r>
      <w:r w:rsidR="1EBC6D29" w:rsidRPr="008C17AC">
        <w:rPr>
          <w:rFonts w:ascii="Times New Roman" w:eastAsia="Times New Roman" w:hAnsi="Times New Roman" w:cs="Times New Roman"/>
        </w:rPr>
        <w:t>.</w:t>
      </w:r>
      <w:r w:rsidR="15948A36" w:rsidRPr="008C17AC">
        <w:rPr>
          <w:rFonts w:ascii="Times New Roman" w:eastAsia="Times New Roman" w:hAnsi="Times New Roman" w:cs="Times New Roman"/>
        </w:rPr>
        <w:t>V</w:t>
      </w:r>
      <w:r w:rsidR="1EBC6D29" w:rsidRPr="008C17AC">
        <w:rPr>
          <w:rFonts w:ascii="Times New Roman" w:eastAsia="Times New Roman" w:hAnsi="Times New Roman" w:cs="Times New Roman"/>
        </w:rPr>
        <w:t>.</w:t>
      </w:r>
      <w:r w:rsidR="2279BBB9" w:rsidRPr="008C17AC">
        <w:rPr>
          <w:rFonts w:ascii="Times New Roman" w:eastAsia="Times New Roman" w:hAnsi="Times New Roman" w:cs="Times New Roman"/>
        </w:rPr>
        <w:t>d</w:t>
      </w:r>
      <w:r w:rsidR="1EBC6D29" w:rsidRPr="008C17AC">
        <w:rPr>
          <w:rFonts w:ascii="Times New Roman" w:eastAsia="Times New Roman" w:hAnsi="Times New Roman" w:cs="Times New Roman"/>
        </w:rPr>
        <w:t>.</w:t>
      </w:r>
      <w:r w:rsidR="2279BBB9" w:rsidRPr="008C17AC">
        <w:rPr>
          <w:rFonts w:ascii="Times New Roman" w:eastAsia="Times New Roman" w:hAnsi="Times New Roman" w:cs="Times New Roman"/>
        </w:rPr>
        <w:t xml:space="preserve">E, </w:t>
      </w:r>
      <w:r w:rsidR="3B130A67" w:rsidRPr="008C17AC">
        <w:rPr>
          <w:rFonts w:ascii="Times New Roman" w:eastAsia="Times New Roman" w:hAnsi="Times New Roman" w:cs="Times New Roman"/>
        </w:rPr>
        <w:t>with additional discussion with the broader study team as needed</w:t>
      </w:r>
      <w:r w:rsidR="41D6EE68" w:rsidRPr="008C17AC">
        <w:rPr>
          <w:rFonts w:ascii="Times New Roman" w:eastAsia="Times New Roman" w:hAnsi="Times New Roman" w:cs="Times New Roman"/>
        </w:rPr>
        <w:t>.</w:t>
      </w:r>
      <w:r w:rsidR="2279BBB9" w:rsidRPr="008C17AC">
        <w:rPr>
          <w:rFonts w:ascii="Times New Roman" w:eastAsia="Times New Roman" w:hAnsi="Times New Roman" w:cs="Times New Roman"/>
        </w:rPr>
        <w:t xml:space="preserve"> </w:t>
      </w:r>
    </w:p>
    <w:p w14:paraId="7389AF5F" w14:textId="68827A7D" w:rsidR="7DA19A5D" w:rsidRPr="008C17AC" w:rsidRDefault="2D73107D" w:rsidP="23EF21E2">
      <w:pPr>
        <w:spacing w:after="120" w:line="360" w:lineRule="auto"/>
        <w:ind w:right="-20" w:firstLine="567"/>
        <w:rPr>
          <w:rFonts w:ascii="Times New Roman" w:eastAsia="Times New Roman" w:hAnsi="Times New Roman" w:cs="Times New Roman"/>
        </w:rPr>
      </w:pPr>
      <w:r w:rsidRPr="008C17AC">
        <w:rPr>
          <w:rFonts w:ascii="Times New Roman" w:eastAsia="Times New Roman" w:hAnsi="Times New Roman" w:cs="Times New Roman"/>
        </w:rPr>
        <w:t>T</w:t>
      </w:r>
      <w:r w:rsidR="2DCE3C59" w:rsidRPr="008C17AC">
        <w:rPr>
          <w:rFonts w:ascii="Times New Roman" w:eastAsia="Times New Roman" w:hAnsi="Times New Roman" w:cs="Times New Roman"/>
        </w:rPr>
        <w:t xml:space="preserve">o reduce </w:t>
      </w:r>
      <w:r w:rsidR="00C11515" w:rsidRPr="008C17AC">
        <w:rPr>
          <w:rFonts w:ascii="Times New Roman" w:eastAsia="Times New Roman" w:hAnsi="Times New Roman" w:cs="Times New Roman"/>
        </w:rPr>
        <w:t xml:space="preserve">the </w:t>
      </w:r>
      <w:r w:rsidR="2DCE3C59" w:rsidRPr="008C17AC">
        <w:rPr>
          <w:rFonts w:ascii="Times New Roman" w:eastAsia="Times New Roman" w:hAnsi="Times New Roman" w:cs="Times New Roman"/>
        </w:rPr>
        <w:t xml:space="preserve">differences in screening between </w:t>
      </w:r>
      <w:r w:rsidR="00C11515" w:rsidRPr="008C17AC">
        <w:rPr>
          <w:rFonts w:ascii="Times New Roman" w:eastAsia="Times New Roman" w:hAnsi="Times New Roman" w:cs="Times New Roman"/>
        </w:rPr>
        <w:t xml:space="preserve">the </w:t>
      </w:r>
      <w:r w:rsidR="2DCE3C59" w:rsidRPr="008C17AC">
        <w:rPr>
          <w:rFonts w:ascii="Times New Roman" w:eastAsia="Times New Roman" w:hAnsi="Times New Roman" w:cs="Times New Roman"/>
        </w:rPr>
        <w:t xml:space="preserve">authors, we started with a pilot </w:t>
      </w:r>
      <w:r w:rsidR="6B8686C0" w:rsidRPr="008C17AC">
        <w:rPr>
          <w:rFonts w:ascii="Times New Roman" w:eastAsia="Times New Roman" w:hAnsi="Times New Roman" w:cs="Times New Roman"/>
        </w:rPr>
        <w:t>screening of</w:t>
      </w:r>
      <w:r w:rsidR="2DCE3C59" w:rsidRPr="008C17AC">
        <w:rPr>
          <w:rFonts w:ascii="Times New Roman" w:eastAsia="Times New Roman" w:hAnsi="Times New Roman" w:cs="Times New Roman"/>
        </w:rPr>
        <w:t xml:space="preserve"> 23 randomly selected articles</w:t>
      </w:r>
      <w:r w:rsidR="47D48F74" w:rsidRPr="008C17AC">
        <w:rPr>
          <w:rFonts w:ascii="Times New Roman" w:eastAsia="Times New Roman" w:hAnsi="Times New Roman" w:cs="Times New Roman"/>
        </w:rPr>
        <w:t xml:space="preserve"> </w:t>
      </w:r>
      <w:r w:rsidR="5B3B2145" w:rsidRPr="008C17AC">
        <w:rPr>
          <w:rFonts w:ascii="Times New Roman" w:eastAsia="Times New Roman" w:hAnsi="Times New Roman" w:cs="Times New Roman"/>
        </w:rPr>
        <w:t xml:space="preserve">that were reviewed by the entire study team and then discussed. As new reviewers were added to the project, they completed a modified version of this pilot screening focusing on </w:t>
      </w:r>
      <w:r w:rsidR="18C3882A" w:rsidRPr="008C17AC">
        <w:rPr>
          <w:rFonts w:ascii="Times New Roman" w:eastAsia="Times New Roman" w:hAnsi="Times New Roman" w:cs="Times New Roman"/>
        </w:rPr>
        <w:t>a selection of 10 articles from the original 23.</w:t>
      </w:r>
      <w:r w:rsidR="31D1988C" w:rsidRPr="008C17AC">
        <w:rPr>
          <w:rFonts w:ascii="Times New Roman" w:eastAsia="Times New Roman" w:hAnsi="Times New Roman" w:cs="Times New Roman"/>
        </w:rPr>
        <w:t xml:space="preserve"> </w:t>
      </w:r>
      <w:r w:rsidR="55DB5D3D" w:rsidRPr="008C17AC">
        <w:rPr>
          <w:rFonts w:ascii="Times New Roman" w:eastAsia="Times New Roman" w:hAnsi="Times New Roman" w:cs="Times New Roman"/>
        </w:rPr>
        <w:t xml:space="preserve">If the manuscript of an article was in a foreign language, we either reallocated </w:t>
      </w:r>
      <w:r w:rsidR="578574C8" w:rsidRPr="008C17AC">
        <w:rPr>
          <w:rFonts w:ascii="Times New Roman" w:eastAsia="Times New Roman" w:hAnsi="Times New Roman" w:cs="Times New Roman"/>
        </w:rPr>
        <w:t xml:space="preserve">the article to </w:t>
      </w:r>
      <w:r w:rsidR="4CC496F7" w:rsidRPr="008C17AC">
        <w:rPr>
          <w:rFonts w:ascii="Times New Roman" w:eastAsia="Times New Roman" w:hAnsi="Times New Roman" w:cs="Times New Roman"/>
        </w:rPr>
        <w:t>a team member who spoke that language</w:t>
      </w:r>
      <w:r w:rsidR="578574C8" w:rsidRPr="008C17AC">
        <w:rPr>
          <w:rFonts w:ascii="Times New Roman" w:eastAsia="Times New Roman" w:hAnsi="Times New Roman" w:cs="Times New Roman"/>
        </w:rPr>
        <w:t xml:space="preserve"> or used translation tools </w:t>
      </w:r>
      <w:r w:rsidR="4BCE679C" w:rsidRPr="008C17AC">
        <w:rPr>
          <w:rFonts w:ascii="Times New Roman" w:eastAsia="Times New Roman" w:hAnsi="Times New Roman" w:cs="Times New Roman"/>
        </w:rPr>
        <w:t xml:space="preserve">(Google </w:t>
      </w:r>
      <w:r w:rsidR="00B42E80" w:rsidRPr="008C17AC">
        <w:rPr>
          <w:rFonts w:ascii="Times New Roman" w:eastAsia="Times New Roman" w:hAnsi="Times New Roman" w:cs="Times New Roman"/>
        </w:rPr>
        <w:t>Translate (</w:t>
      </w:r>
      <w:hyperlink r:id="rId28" w:history="1">
        <w:r w:rsidR="00B42E80" w:rsidRPr="008C17AC">
          <w:rPr>
            <w:rStyle w:val="Hyperlink"/>
            <w:rFonts w:ascii="Times New Roman" w:eastAsia="Times New Roman" w:hAnsi="Times New Roman" w:cs="Times New Roman"/>
            <w:color w:val="auto"/>
          </w:rPr>
          <w:t>https://translate.google.com</w:t>
        </w:r>
      </w:hyperlink>
      <w:r w:rsidR="00B42E80" w:rsidRPr="008C17AC">
        <w:rPr>
          <w:rFonts w:ascii="Times New Roman" w:eastAsia="Times New Roman" w:hAnsi="Times New Roman" w:cs="Times New Roman"/>
        </w:rPr>
        <w:t xml:space="preserve">) </w:t>
      </w:r>
      <w:r w:rsidR="7E306A38" w:rsidRPr="008C17AC">
        <w:rPr>
          <w:rFonts w:ascii="Times New Roman" w:eastAsia="Times New Roman" w:hAnsi="Times New Roman" w:cs="Times New Roman"/>
        </w:rPr>
        <w:t>or</w:t>
      </w:r>
      <w:r w:rsidR="2E12E7F1" w:rsidRPr="008C17AC">
        <w:rPr>
          <w:rFonts w:ascii="Times New Roman" w:eastAsia="Times New Roman" w:hAnsi="Times New Roman" w:cs="Times New Roman"/>
        </w:rPr>
        <w:t xml:space="preserve"> DeepL</w:t>
      </w:r>
      <w:r w:rsidR="7E306A38" w:rsidRPr="008C17AC">
        <w:rPr>
          <w:rFonts w:ascii="Times New Roman" w:eastAsia="Times New Roman" w:hAnsi="Times New Roman" w:cs="Times New Roman"/>
        </w:rPr>
        <w:t xml:space="preserve"> </w:t>
      </w:r>
      <w:r w:rsidR="4BCE679C" w:rsidRPr="008C17AC">
        <w:rPr>
          <w:rFonts w:ascii="Times New Roman" w:eastAsia="Times New Roman" w:hAnsi="Times New Roman" w:cs="Times New Roman"/>
        </w:rPr>
        <w:t>translator</w:t>
      </w:r>
      <w:r w:rsidR="0039041C" w:rsidRPr="008C17AC">
        <w:rPr>
          <w:rFonts w:ascii="Times New Roman" w:eastAsia="Times New Roman" w:hAnsi="Times New Roman" w:cs="Times New Roman"/>
        </w:rPr>
        <w:t xml:space="preserve"> (https://www.deepl.com/en/translator)</w:t>
      </w:r>
      <w:r w:rsidR="4BCE679C" w:rsidRPr="008C17AC">
        <w:rPr>
          <w:rFonts w:ascii="Times New Roman" w:eastAsia="Times New Roman" w:hAnsi="Times New Roman" w:cs="Times New Roman"/>
        </w:rPr>
        <w:t>)</w:t>
      </w:r>
      <w:r w:rsidR="578574C8" w:rsidRPr="008C17AC">
        <w:rPr>
          <w:rFonts w:ascii="Times New Roman" w:eastAsia="Times New Roman" w:hAnsi="Times New Roman" w:cs="Times New Roman"/>
        </w:rPr>
        <w:t xml:space="preserve"> </w:t>
      </w:r>
      <w:r w:rsidR="29DC1825" w:rsidRPr="008C17AC">
        <w:rPr>
          <w:rFonts w:ascii="Times New Roman" w:eastAsia="Times New Roman" w:hAnsi="Times New Roman" w:cs="Times New Roman"/>
        </w:rPr>
        <w:t>on</w:t>
      </w:r>
      <w:r w:rsidR="578574C8" w:rsidRPr="008C17AC">
        <w:rPr>
          <w:rFonts w:ascii="Times New Roman" w:eastAsia="Times New Roman" w:hAnsi="Times New Roman" w:cs="Times New Roman"/>
        </w:rPr>
        <w:t xml:space="preserve"> the full text.</w:t>
      </w:r>
    </w:p>
    <w:p w14:paraId="586288CB" w14:textId="7371F66E" w:rsidR="009D0FED" w:rsidRPr="008C17AC" w:rsidRDefault="18061DCF" w:rsidP="23EF21E2">
      <w:pPr>
        <w:spacing w:after="120" w:line="360" w:lineRule="auto"/>
        <w:ind w:right="-20" w:firstLine="567"/>
        <w:rPr>
          <w:rFonts w:ascii="Times New Roman" w:eastAsia="Times New Roman" w:hAnsi="Times New Roman" w:cs="Times New Roman"/>
          <w:b/>
          <w:bCs/>
        </w:rPr>
      </w:pPr>
      <w:r w:rsidRPr="008C17AC">
        <w:rPr>
          <w:rFonts w:ascii="Times New Roman" w:eastAsia="Times New Roman" w:hAnsi="Times New Roman" w:cs="Times New Roman"/>
          <w:b/>
          <w:bCs/>
        </w:rPr>
        <w:t>Data-extraction</w:t>
      </w:r>
    </w:p>
    <w:p w14:paraId="792287E4" w14:textId="70312ED4" w:rsidR="60E90CEF" w:rsidRPr="008C17AC" w:rsidRDefault="7906B2CD" w:rsidP="47AB2BE1">
      <w:pPr>
        <w:spacing w:after="120" w:line="360" w:lineRule="auto"/>
        <w:ind w:left="-20" w:right="-20" w:firstLine="567"/>
        <w:rPr>
          <w:rFonts w:ascii="Times New Roman" w:eastAsia="Times New Roman" w:hAnsi="Times New Roman" w:cs="Times New Roman"/>
        </w:rPr>
      </w:pPr>
      <w:r w:rsidRPr="008C17AC">
        <w:rPr>
          <w:rFonts w:ascii="Times New Roman" w:eastAsia="Times New Roman" w:hAnsi="Times New Roman" w:cs="Times New Roman"/>
        </w:rPr>
        <w:t>A d</w:t>
      </w:r>
      <w:r w:rsidR="54C8BD1E" w:rsidRPr="008C17AC">
        <w:rPr>
          <w:rFonts w:ascii="Times New Roman" w:eastAsia="Times New Roman" w:hAnsi="Times New Roman" w:cs="Times New Roman"/>
        </w:rPr>
        <w:t>raft</w:t>
      </w:r>
      <w:r w:rsidR="64D3D94B" w:rsidRPr="008C17AC">
        <w:rPr>
          <w:rFonts w:ascii="Times New Roman" w:eastAsia="Times New Roman" w:hAnsi="Times New Roman" w:cs="Times New Roman"/>
        </w:rPr>
        <w:t xml:space="preserve"> data extraction sheet</w:t>
      </w:r>
      <w:r w:rsidR="75DEA5B0" w:rsidRPr="008C17AC">
        <w:rPr>
          <w:rFonts w:ascii="Times New Roman" w:eastAsia="Times New Roman" w:hAnsi="Times New Roman" w:cs="Times New Roman"/>
        </w:rPr>
        <w:t>,</w:t>
      </w:r>
      <w:r w:rsidR="64D3D94B" w:rsidRPr="008C17AC">
        <w:rPr>
          <w:rFonts w:ascii="Times New Roman" w:eastAsia="Times New Roman" w:hAnsi="Times New Roman" w:cs="Times New Roman"/>
        </w:rPr>
        <w:t xml:space="preserve"> </w:t>
      </w:r>
      <w:r w:rsidR="5EE35277" w:rsidRPr="008C17AC">
        <w:rPr>
          <w:rFonts w:ascii="Times New Roman" w:eastAsia="Times New Roman" w:hAnsi="Times New Roman" w:cs="Times New Roman"/>
        </w:rPr>
        <w:t>including extraction instructions and terminology definitions</w:t>
      </w:r>
      <w:r w:rsidR="680B909B" w:rsidRPr="008C17AC">
        <w:rPr>
          <w:rFonts w:ascii="Times New Roman" w:eastAsia="Times New Roman" w:hAnsi="Times New Roman" w:cs="Times New Roman"/>
        </w:rPr>
        <w:t xml:space="preserve">, </w:t>
      </w:r>
      <w:r w:rsidR="64D3D94B" w:rsidRPr="008C17AC">
        <w:rPr>
          <w:rFonts w:ascii="Times New Roman" w:eastAsia="Times New Roman" w:hAnsi="Times New Roman" w:cs="Times New Roman"/>
        </w:rPr>
        <w:t>was developed by L.D., M.K. and T.R-H. and reviewed by the whole team.</w:t>
      </w:r>
      <w:r w:rsidR="53144613" w:rsidRPr="008C17AC">
        <w:rPr>
          <w:rFonts w:ascii="Times New Roman" w:eastAsia="Times New Roman" w:hAnsi="Times New Roman" w:cs="Times New Roman"/>
        </w:rPr>
        <w:t xml:space="preserve"> </w:t>
      </w:r>
      <w:r w:rsidR="479B3B44" w:rsidRPr="008C17AC">
        <w:rPr>
          <w:rFonts w:ascii="Times New Roman" w:eastAsia="Times New Roman" w:hAnsi="Times New Roman" w:cs="Times New Roman"/>
        </w:rPr>
        <w:t xml:space="preserve">Data extraction was done by L.D., E.K., M.K., N.J.D, T.K., A.P.M.D, V.V.d.E, T.R.H., M.L and </w:t>
      </w:r>
      <w:r w:rsidR="517B3DA4" w:rsidRPr="008C17AC">
        <w:rPr>
          <w:rFonts w:ascii="Times New Roman" w:eastAsia="Times New Roman" w:hAnsi="Times New Roman" w:cs="Times New Roman"/>
        </w:rPr>
        <w:t>additiona</w:t>
      </w:r>
      <w:r w:rsidR="0039041C" w:rsidRPr="008C17AC">
        <w:rPr>
          <w:rFonts w:ascii="Times New Roman" w:eastAsia="Times New Roman" w:hAnsi="Times New Roman" w:cs="Times New Roman"/>
        </w:rPr>
        <w:t>l</w:t>
      </w:r>
      <w:r w:rsidR="517B3DA4" w:rsidRPr="008C17AC">
        <w:rPr>
          <w:rFonts w:ascii="Times New Roman" w:eastAsia="Times New Roman" w:hAnsi="Times New Roman" w:cs="Times New Roman"/>
        </w:rPr>
        <w:t xml:space="preserve"> contributors</w:t>
      </w:r>
      <w:r w:rsidR="479B3B44" w:rsidRPr="008C17AC">
        <w:rPr>
          <w:rFonts w:ascii="Times New Roman" w:eastAsia="Times New Roman" w:hAnsi="Times New Roman" w:cs="Times New Roman"/>
        </w:rPr>
        <w:t xml:space="preserve"> (see Acknowledgements). </w:t>
      </w:r>
      <w:r w:rsidR="008C3517" w:rsidRPr="008C17AC">
        <w:rPr>
          <w:rFonts w:ascii="Times New Roman" w:eastAsia="Times New Roman" w:hAnsi="Times New Roman" w:cs="Times New Roman"/>
        </w:rPr>
        <w:t xml:space="preserve">All extracting authors tested the extraction sheet using 10 articles and revised the final sheets based on pilot feedback. </w:t>
      </w:r>
      <w:r w:rsidR="247B7B44" w:rsidRPr="008C17AC">
        <w:rPr>
          <w:rFonts w:ascii="Times New Roman" w:eastAsia="Times New Roman" w:hAnsi="Times New Roman" w:cs="Times New Roman"/>
        </w:rPr>
        <w:t xml:space="preserve">All fields extracted from included articles are detailed in </w:t>
      </w:r>
      <w:r w:rsidR="479B3B44" w:rsidRPr="008C17AC">
        <w:rPr>
          <w:rFonts w:ascii="Times New Roman" w:eastAsia="Times New Roman" w:hAnsi="Times New Roman" w:cs="Times New Roman"/>
        </w:rPr>
        <w:t>Supplementary File 3</w:t>
      </w:r>
      <w:r w:rsidR="247B7B44" w:rsidRPr="008C17AC">
        <w:rPr>
          <w:rFonts w:ascii="Times New Roman" w:eastAsia="Times New Roman" w:hAnsi="Times New Roman" w:cs="Times New Roman"/>
        </w:rPr>
        <w:t>.</w:t>
      </w:r>
      <w:r w:rsidR="3C0069BF" w:rsidRPr="008C17AC">
        <w:rPr>
          <w:rFonts w:ascii="Times New Roman" w:eastAsia="Times New Roman" w:hAnsi="Times New Roman" w:cs="Times New Roman"/>
        </w:rPr>
        <w:t xml:space="preserve"> </w:t>
      </w:r>
      <w:r w:rsidR="321F92B5" w:rsidRPr="008C17AC">
        <w:rPr>
          <w:rFonts w:ascii="Times New Roman" w:eastAsia="Times New Roman" w:hAnsi="Times New Roman" w:cs="Times New Roman"/>
        </w:rPr>
        <w:t>Data extraction was not conducted in duplicate as outlined in our protocol, primarily due to time constraints</w:t>
      </w:r>
      <w:r w:rsidR="00B769F7" w:rsidRPr="008C17AC">
        <w:rPr>
          <w:rFonts w:ascii="Times New Roman" w:eastAsia="Times New Roman" w:hAnsi="Times New Roman" w:cs="Times New Roman"/>
        </w:rPr>
        <w:t>, but they were double checked another author</w:t>
      </w:r>
      <w:r w:rsidR="321F92B5" w:rsidRPr="008C17AC">
        <w:rPr>
          <w:rFonts w:ascii="Times New Roman" w:eastAsia="Times New Roman" w:hAnsi="Times New Roman" w:cs="Times New Roman"/>
        </w:rPr>
        <w:t>.</w:t>
      </w:r>
      <w:r w:rsidR="3C0069BF" w:rsidRPr="008C17AC">
        <w:rPr>
          <w:rFonts w:ascii="Times New Roman" w:eastAsia="Times New Roman" w:hAnsi="Times New Roman" w:cs="Times New Roman"/>
        </w:rPr>
        <w:t xml:space="preserve"> </w:t>
      </w:r>
      <w:r w:rsidR="126B628C" w:rsidRPr="008C17AC">
        <w:rPr>
          <w:rFonts w:ascii="Times New Roman" w:eastAsia="Times New Roman" w:hAnsi="Times New Roman" w:cs="Times New Roman"/>
        </w:rPr>
        <w:t xml:space="preserve">The data was extracted from the study manuscripts in EPPI reviewer. Because of time constraints we did not contact authors in case of insufficient data. </w:t>
      </w:r>
      <w:r w:rsidR="602ABB75" w:rsidRPr="008C17AC">
        <w:rPr>
          <w:rFonts w:ascii="Times New Roman" w:eastAsia="Times New Roman" w:hAnsi="Times New Roman" w:cs="Times New Roman"/>
        </w:rPr>
        <w:t xml:space="preserve">If an article addressed multiple research questions referring to different outcomes, we separately extracted the data for each question. We therefore use the term “article” for the actual publication, and “study” for the separate </w:t>
      </w:r>
      <w:r w:rsidR="008C3517" w:rsidRPr="008C17AC">
        <w:rPr>
          <w:rFonts w:ascii="Times New Roman" w:eastAsia="Times New Roman" w:hAnsi="Times New Roman" w:cs="Times New Roman"/>
        </w:rPr>
        <w:t>outcome</w:t>
      </w:r>
      <w:r w:rsidR="06655C34" w:rsidRPr="008C17AC">
        <w:rPr>
          <w:rFonts w:ascii="Times New Roman" w:eastAsia="Times New Roman" w:hAnsi="Times New Roman" w:cs="Times New Roman"/>
        </w:rPr>
        <w:t>s</w:t>
      </w:r>
      <w:r w:rsidR="602ABB75" w:rsidRPr="008C17AC">
        <w:rPr>
          <w:rFonts w:ascii="Times New Roman" w:eastAsia="Times New Roman" w:hAnsi="Times New Roman" w:cs="Times New Roman"/>
        </w:rPr>
        <w:t>.</w:t>
      </w:r>
    </w:p>
    <w:p w14:paraId="27E0BC4D" w14:textId="5118A899" w:rsidR="009D0FED" w:rsidRPr="008C17AC" w:rsidRDefault="5AC3BCA1" w:rsidP="23EF21E2">
      <w:pPr>
        <w:spacing w:after="120" w:line="360" w:lineRule="auto"/>
        <w:ind w:left="-20" w:right="-20" w:firstLine="567"/>
        <w:rPr>
          <w:rFonts w:ascii="Times New Roman" w:eastAsia="Times New Roman" w:hAnsi="Times New Roman" w:cs="Times New Roman"/>
          <w:b/>
          <w:bCs/>
        </w:rPr>
      </w:pPr>
      <w:r w:rsidRPr="008C17AC">
        <w:rPr>
          <w:rFonts w:ascii="Times New Roman" w:eastAsia="Times New Roman" w:hAnsi="Times New Roman" w:cs="Times New Roman"/>
          <w:b/>
          <w:bCs/>
        </w:rPr>
        <w:t>Data synthesis and analysis</w:t>
      </w:r>
    </w:p>
    <w:p w14:paraId="67D4223B" w14:textId="4AE25949" w:rsidR="7125DCBA" w:rsidRPr="008C17AC" w:rsidRDefault="27AC6E1B" w:rsidP="23EF21E2">
      <w:pPr>
        <w:spacing w:after="120" w:line="360" w:lineRule="auto"/>
        <w:ind w:right="-20" w:firstLine="567"/>
        <w:rPr>
          <w:rFonts w:ascii="Times New Roman" w:eastAsia="Times New Roman" w:hAnsi="Times New Roman" w:cs="Times New Roman"/>
        </w:rPr>
      </w:pPr>
      <w:r w:rsidRPr="008C17AC">
        <w:rPr>
          <w:rFonts w:ascii="Times New Roman" w:eastAsia="Times New Roman" w:hAnsi="Times New Roman" w:cs="Times New Roman"/>
        </w:rPr>
        <w:t xml:space="preserve">The data collected through EPPI reviewer were transferred to and cleaned in Microsoft Excel. </w:t>
      </w:r>
      <w:r w:rsidR="76FDC6C0" w:rsidRPr="008C17AC">
        <w:rPr>
          <w:rFonts w:ascii="Times New Roman" w:eastAsia="Times New Roman" w:hAnsi="Times New Roman" w:cs="Times New Roman"/>
        </w:rPr>
        <w:t xml:space="preserve">We </w:t>
      </w:r>
      <w:r w:rsidRPr="008C17AC">
        <w:rPr>
          <w:rFonts w:ascii="Times New Roman" w:eastAsia="Times New Roman" w:hAnsi="Times New Roman" w:cs="Times New Roman"/>
        </w:rPr>
        <w:t xml:space="preserve">also used Microsoft Excel to </w:t>
      </w:r>
      <w:r w:rsidR="76FDC6C0" w:rsidRPr="008C17AC">
        <w:rPr>
          <w:rFonts w:ascii="Times New Roman" w:eastAsia="Times New Roman" w:hAnsi="Times New Roman" w:cs="Times New Roman"/>
        </w:rPr>
        <w:t>summarize</w:t>
      </w:r>
      <w:r w:rsidR="65F8E9A9" w:rsidRPr="008C17AC">
        <w:rPr>
          <w:rFonts w:ascii="Times New Roman" w:eastAsia="Times New Roman" w:hAnsi="Times New Roman" w:cs="Times New Roman"/>
        </w:rPr>
        <w:t xml:space="preserve"> the characteristics of the included studies </w:t>
      </w:r>
      <w:r w:rsidR="4817DA6B" w:rsidRPr="008C17AC">
        <w:rPr>
          <w:rFonts w:ascii="Times New Roman" w:eastAsia="Times New Roman" w:hAnsi="Times New Roman" w:cs="Times New Roman"/>
        </w:rPr>
        <w:t>ac</w:t>
      </w:r>
      <w:r w:rsidRPr="008C17AC">
        <w:rPr>
          <w:rFonts w:ascii="Times New Roman" w:eastAsia="Times New Roman" w:hAnsi="Times New Roman" w:cs="Times New Roman"/>
        </w:rPr>
        <w:t xml:space="preserve">cording to the interventions applied, the outcomes measured, the study design, and the stakeholders involved. </w:t>
      </w:r>
      <w:r w:rsidR="5F821A32" w:rsidRPr="008C17AC">
        <w:rPr>
          <w:rFonts w:ascii="Times New Roman" w:eastAsia="Times New Roman" w:hAnsi="Times New Roman" w:cs="Times New Roman"/>
        </w:rPr>
        <w:t xml:space="preserve">The </w:t>
      </w:r>
      <w:r w:rsidR="094E1D2C" w:rsidRPr="008C17AC">
        <w:rPr>
          <w:rFonts w:ascii="Times New Roman" w:eastAsia="Times New Roman" w:hAnsi="Times New Roman" w:cs="Times New Roman"/>
        </w:rPr>
        <w:t>data extracted from the articles</w:t>
      </w:r>
      <w:r w:rsidR="5F821A32" w:rsidRPr="008C17AC">
        <w:rPr>
          <w:rFonts w:ascii="Times New Roman" w:eastAsia="Times New Roman" w:hAnsi="Times New Roman" w:cs="Times New Roman"/>
        </w:rPr>
        <w:t xml:space="preserve"> </w:t>
      </w:r>
      <w:r w:rsidR="1D3D232B" w:rsidRPr="008C17AC">
        <w:rPr>
          <w:rFonts w:ascii="Times New Roman" w:eastAsia="Times New Roman" w:hAnsi="Times New Roman" w:cs="Times New Roman"/>
        </w:rPr>
        <w:t>w</w:t>
      </w:r>
      <w:r w:rsidRPr="008C17AC">
        <w:rPr>
          <w:rFonts w:ascii="Times New Roman" w:eastAsia="Times New Roman" w:hAnsi="Times New Roman" w:cs="Times New Roman"/>
        </w:rPr>
        <w:t xml:space="preserve">ere </w:t>
      </w:r>
      <w:r w:rsidR="006820AF" w:rsidRPr="008C17AC">
        <w:rPr>
          <w:rFonts w:ascii="Times New Roman" w:eastAsia="Times New Roman" w:hAnsi="Times New Roman" w:cs="Times New Roman"/>
        </w:rPr>
        <w:t xml:space="preserve">presented </w:t>
      </w:r>
      <w:r w:rsidRPr="008C17AC">
        <w:rPr>
          <w:rFonts w:ascii="Times New Roman" w:eastAsia="Times New Roman" w:hAnsi="Times New Roman" w:cs="Times New Roman"/>
        </w:rPr>
        <w:t xml:space="preserve">graphically in evidence gap maps, </w:t>
      </w:r>
      <w:r w:rsidR="221D3AB9" w:rsidRPr="008C17AC">
        <w:rPr>
          <w:rFonts w:ascii="Times New Roman" w:eastAsia="Times New Roman" w:hAnsi="Times New Roman" w:cs="Times New Roman"/>
        </w:rPr>
        <w:t xml:space="preserve">which </w:t>
      </w:r>
      <w:r w:rsidR="1D699AB9" w:rsidRPr="008C17AC">
        <w:rPr>
          <w:rFonts w:ascii="Times New Roman" w:eastAsia="Times New Roman" w:hAnsi="Times New Roman" w:cs="Times New Roman"/>
        </w:rPr>
        <w:t>are a form of bubble plot</w:t>
      </w:r>
      <w:r w:rsidR="221D3AB9" w:rsidRPr="008C17AC">
        <w:rPr>
          <w:rFonts w:ascii="Times New Roman" w:eastAsia="Times New Roman" w:hAnsi="Times New Roman" w:cs="Times New Roman"/>
        </w:rPr>
        <w:t xml:space="preserve"> with</w:t>
      </w:r>
      <w:r w:rsidR="7346F6E4" w:rsidRPr="008C17AC">
        <w:rPr>
          <w:rFonts w:ascii="Times New Roman" w:eastAsia="Times New Roman" w:hAnsi="Times New Roman" w:cs="Times New Roman"/>
        </w:rPr>
        <w:t xml:space="preserve"> the different outcomes</w:t>
      </w:r>
      <w:r w:rsidR="221D3AB9" w:rsidRPr="008C17AC">
        <w:rPr>
          <w:rFonts w:ascii="Times New Roman" w:eastAsia="Times New Roman" w:hAnsi="Times New Roman" w:cs="Times New Roman"/>
        </w:rPr>
        <w:t xml:space="preserve"> on the </w:t>
      </w:r>
      <w:r w:rsidR="3820D19C" w:rsidRPr="008C17AC">
        <w:rPr>
          <w:rFonts w:ascii="Times New Roman" w:eastAsia="Times New Roman" w:hAnsi="Times New Roman" w:cs="Times New Roman"/>
        </w:rPr>
        <w:t>x</w:t>
      </w:r>
      <w:r w:rsidR="221D3AB9" w:rsidRPr="008C17AC">
        <w:rPr>
          <w:rFonts w:ascii="Times New Roman" w:eastAsia="Times New Roman" w:hAnsi="Times New Roman" w:cs="Times New Roman"/>
        </w:rPr>
        <w:t xml:space="preserve">-axis and </w:t>
      </w:r>
      <w:r w:rsidR="3DA0AE32" w:rsidRPr="008C17AC">
        <w:rPr>
          <w:rFonts w:ascii="Times New Roman" w:eastAsia="Times New Roman" w:hAnsi="Times New Roman" w:cs="Times New Roman"/>
        </w:rPr>
        <w:t>the interventions on the y-axis</w:t>
      </w:r>
      <w:r w:rsidR="221D3AB9" w:rsidRPr="008C17AC">
        <w:rPr>
          <w:rFonts w:ascii="Times New Roman" w:eastAsia="Times New Roman" w:hAnsi="Times New Roman" w:cs="Times New Roman"/>
        </w:rPr>
        <w:t>. The size of the bubbles was defined by the number of studies</w:t>
      </w:r>
      <w:r w:rsidR="004F2F05" w:rsidRPr="008C17AC">
        <w:rPr>
          <w:rFonts w:ascii="Times New Roman" w:eastAsia="Times New Roman" w:hAnsi="Times New Roman" w:cs="Times New Roman"/>
        </w:rPr>
        <w:t xml:space="preserve"> that</w:t>
      </w:r>
      <w:r w:rsidR="221D3AB9" w:rsidRPr="008C17AC">
        <w:rPr>
          <w:rFonts w:ascii="Times New Roman" w:eastAsia="Times New Roman" w:hAnsi="Times New Roman" w:cs="Times New Roman"/>
        </w:rPr>
        <w:t xml:space="preserve"> address this particular intervention/outcome combination and the colour of the bubbles was defined by the study design. If studies with differ</w:t>
      </w:r>
      <w:r w:rsidR="004F2F05" w:rsidRPr="008C17AC">
        <w:rPr>
          <w:rFonts w:ascii="Times New Roman" w:eastAsia="Times New Roman" w:hAnsi="Times New Roman" w:cs="Times New Roman"/>
        </w:rPr>
        <w:t>ent</w:t>
      </w:r>
      <w:r w:rsidR="221D3AB9" w:rsidRPr="008C17AC">
        <w:rPr>
          <w:rFonts w:ascii="Times New Roman" w:eastAsia="Times New Roman" w:hAnsi="Times New Roman" w:cs="Times New Roman"/>
        </w:rPr>
        <w:t xml:space="preserve"> designs addressed similar intervention-outcome combinations, this was depicted using multiple colours. Information about stakeholders and academic field was </w:t>
      </w:r>
      <w:r w:rsidR="002E3681" w:rsidRPr="008C17AC">
        <w:rPr>
          <w:rFonts w:ascii="Times New Roman" w:eastAsia="Times New Roman" w:hAnsi="Times New Roman" w:cs="Times New Roman"/>
        </w:rPr>
        <w:t>represented</w:t>
      </w:r>
      <w:r w:rsidR="221D3AB9" w:rsidRPr="008C17AC">
        <w:rPr>
          <w:rFonts w:ascii="Times New Roman" w:eastAsia="Times New Roman" w:hAnsi="Times New Roman" w:cs="Times New Roman"/>
        </w:rPr>
        <w:t xml:space="preserve"> using bar charts. </w:t>
      </w:r>
      <w:r w:rsidR="42FA162D" w:rsidRPr="008C17AC">
        <w:rPr>
          <w:rFonts w:ascii="Times New Roman" w:eastAsia="Times New Roman" w:hAnsi="Times New Roman" w:cs="Times New Roman"/>
        </w:rPr>
        <w:t xml:space="preserve">We added </w:t>
      </w:r>
      <w:r w:rsidR="002E3681" w:rsidRPr="008C17AC">
        <w:rPr>
          <w:rFonts w:ascii="Times New Roman" w:eastAsia="Times New Roman" w:hAnsi="Times New Roman" w:cs="Times New Roman"/>
        </w:rPr>
        <w:t xml:space="preserve">extra </w:t>
      </w:r>
      <w:r w:rsidR="42FA162D" w:rsidRPr="008C17AC">
        <w:rPr>
          <w:rFonts w:ascii="Times New Roman" w:eastAsia="Times New Roman" w:hAnsi="Times New Roman" w:cs="Times New Roman"/>
        </w:rPr>
        <w:t xml:space="preserve">variables to our dataset to </w:t>
      </w:r>
      <w:r w:rsidR="001331A8" w:rsidRPr="008C17AC">
        <w:rPr>
          <w:rFonts w:ascii="Times New Roman" w:eastAsia="Times New Roman" w:hAnsi="Times New Roman" w:cs="Times New Roman"/>
        </w:rPr>
        <w:t>enable more detailed</w:t>
      </w:r>
      <w:r w:rsidR="42FA162D" w:rsidRPr="008C17AC">
        <w:rPr>
          <w:rFonts w:ascii="Times New Roman" w:eastAsia="Times New Roman" w:hAnsi="Times New Roman" w:cs="Times New Roman"/>
        </w:rPr>
        <w:t xml:space="preserve"> analyses</w:t>
      </w:r>
      <w:r w:rsidR="001331A8" w:rsidRPr="008C17AC">
        <w:rPr>
          <w:rFonts w:ascii="Times New Roman" w:eastAsia="Times New Roman" w:hAnsi="Times New Roman" w:cs="Times New Roman"/>
        </w:rPr>
        <w:t xml:space="preserve"> then were possible with the initial data-extraction items</w:t>
      </w:r>
      <w:r w:rsidR="42FA162D" w:rsidRPr="008C17AC">
        <w:rPr>
          <w:rFonts w:ascii="Times New Roman" w:eastAsia="Times New Roman" w:hAnsi="Times New Roman" w:cs="Times New Roman"/>
        </w:rPr>
        <w:t xml:space="preserve"> and we renamed variables to facilitate labelling in graphs and tables (Supplementary Files 3-5). </w:t>
      </w:r>
      <w:r w:rsidR="221D3AB9" w:rsidRPr="008C17AC">
        <w:rPr>
          <w:rFonts w:ascii="Times New Roman" w:eastAsia="Times New Roman" w:hAnsi="Times New Roman" w:cs="Times New Roman"/>
        </w:rPr>
        <w:t>All graphs were made using ggplot</w:t>
      </w:r>
      <w:r w:rsidR="743BE65D" w:rsidRPr="008C17AC">
        <w:rPr>
          <w:rFonts w:ascii="Times New Roman" w:eastAsia="Times New Roman" w:hAnsi="Times New Roman" w:cs="Times New Roman"/>
        </w:rPr>
        <w:t>2</w:t>
      </w:r>
      <w:r w:rsidR="221D3AB9" w:rsidRPr="008C17AC">
        <w:rPr>
          <w:rFonts w:ascii="Times New Roman" w:eastAsia="Times New Roman" w:hAnsi="Times New Roman" w:cs="Times New Roman"/>
        </w:rPr>
        <w:t xml:space="preserve"> in R.</w:t>
      </w:r>
    </w:p>
    <w:p w14:paraId="689A355B" w14:textId="0F93012D" w:rsidR="30A4E104" w:rsidRPr="008C17AC" w:rsidRDefault="30A4E104" w:rsidP="512088DD">
      <w:pPr>
        <w:spacing w:after="120" w:line="360" w:lineRule="auto"/>
        <w:ind w:right="-20"/>
        <w:rPr>
          <w:rFonts w:ascii="Times New Roman" w:hAnsi="Times New Roman" w:cs="Times New Roman"/>
        </w:rPr>
      </w:pPr>
      <w:r w:rsidRPr="008C17AC">
        <w:rPr>
          <w:rFonts w:ascii="Times New Roman" w:hAnsi="Times New Roman" w:cs="Times New Roman"/>
        </w:rPr>
        <w:br w:type="page"/>
      </w:r>
    </w:p>
    <w:p w14:paraId="045206C8" w14:textId="2E4D9904" w:rsidR="66492C4F" w:rsidRPr="008C17AC" w:rsidRDefault="66492C4F" w:rsidP="23EF21E2">
      <w:pPr>
        <w:spacing w:after="120" w:line="360" w:lineRule="auto"/>
        <w:ind w:left="-20" w:right="-20"/>
        <w:rPr>
          <w:rFonts w:ascii="Times New Roman" w:eastAsia="Times New Roman" w:hAnsi="Times New Roman" w:cs="Times New Roman"/>
          <w:b/>
          <w:bCs/>
        </w:rPr>
      </w:pPr>
      <w:r w:rsidRPr="008C17AC">
        <w:rPr>
          <w:rFonts w:ascii="Times New Roman" w:eastAsia="Times New Roman" w:hAnsi="Times New Roman" w:cs="Times New Roman"/>
          <w:b/>
          <w:bCs/>
        </w:rPr>
        <w:lastRenderedPageBreak/>
        <w:t>Results</w:t>
      </w:r>
    </w:p>
    <w:p w14:paraId="2192FA6E" w14:textId="0A49A990" w:rsidR="2B7F3999" w:rsidRPr="008C17AC" w:rsidRDefault="0785CD6D" w:rsidP="23EF21E2">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rPr>
        <w:t>Initially</w:t>
      </w:r>
      <w:r w:rsidR="3D91E68E" w:rsidRPr="008C17AC">
        <w:rPr>
          <w:rFonts w:ascii="Times New Roman" w:eastAsia="Times New Roman" w:hAnsi="Times New Roman" w:cs="Times New Roman"/>
        </w:rPr>
        <w:t>,</w:t>
      </w:r>
      <w:r w:rsidRPr="008C17AC">
        <w:rPr>
          <w:rFonts w:ascii="Times New Roman" w:eastAsia="Times New Roman" w:hAnsi="Times New Roman" w:cs="Times New Roman"/>
        </w:rPr>
        <w:t xml:space="preserve"> we retrieved</w:t>
      </w:r>
      <w:r w:rsidR="5F2B9B96" w:rsidRPr="008C17AC">
        <w:rPr>
          <w:rFonts w:ascii="Times New Roman" w:eastAsia="Times New Roman" w:hAnsi="Times New Roman" w:cs="Times New Roman"/>
        </w:rPr>
        <w:t xml:space="preserve"> </w:t>
      </w:r>
      <w:r w:rsidR="3AFE94A5" w:rsidRPr="008C17AC">
        <w:rPr>
          <w:rFonts w:ascii="Times New Roman" w:eastAsia="Times New Roman" w:hAnsi="Times New Roman" w:cs="Times New Roman"/>
        </w:rPr>
        <w:t xml:space="preserve">36,063 articles; </w:t>
      </w:r>
      <w:r w:rsidR="3DD3E6E9" w:rsidRPr="008C17AC">
        <w:rPr>
          <w:rFonts w:ascii="Times New Roman" w:eastAsia="Times New Roman" w:hAnsi="Times New Roman" w:cs="Times New Roman"/>
        </w:rPr>
        <w:t>1</w:t>
      </w:r>
      <w:r w:rsidR="15F26D76" w:rsidRPr="008C17AC">
        <w:rPr>
          <w:rFonts w:ascii="Times New Roman" w:eastAsia="Times New Roman" w:hAnsi="Times New Roman" w:cs="Times New Roman"/>
        </w:rPr>
        <w:t>,</w:t>
      </w:r>
      <w:r w:rsidR="3DD3E6E9" w:rsidRPr="008C17AC">
        <w:rPr>
          <w:rFonts w:ascii="Times New Roman" w:eastAsia="Times New Roman" w:hAnsi="Times New Roman" w:cs="Times New Roman"/>
        </w:rPr>
        <w:t>643</w:t>
      </w:r>
      <w:r w:rsidR="3AFE94A5" w:rsidRPr="008C17AC">
        <w:rPr>
          <w:rFonts w:ascii="Times New Roman" w:eastAsia="Times New Roman" w:hAnsi="Times New Roman" w:cs="Times New Roman"/>
        </w:rPr>
        <w:t xml:space="preserve"> of these</w:t>
      </w:r>
      <w:r w:rsidR="470C3D20" w:rsidRPr="008C17AC">
        <w:rPr>
          <w:rFonts w:ascii="Times New Roman" w:eastAsia="Times New Roman" w:hAnsi="Times New Roman" w:cs="Times New Roman"/>
        </w:rPr>
        <w:t xml:space="preserve"> passed </w:t>
      </w:r>
      <w:r w:rsidR="0A2D48D0" w:rsidRPr="008C17AC">
        <w:rPr>
          <w:rFonts w:ascii="Times New Roman" w:eastAsia="Times New Roman" w:hAnsi="Times New Roman" w:cs="Times New Roman"/>
        </w:rPr>
        <w:t xml:space="preserve">the </w:t>
      </w:r>
      <w:r w:rsidR="470C3D20" w:rsidRPr="008C17AC">
        <w:rPr>
          <w:rFonts w:ascii="Times New Roman" w:eastAsia="Times New Roman" w:hAnsi="Times New Roman" w:cs="Times New Roman"/>
        </w:rPr>
        <w:t xml:space="preserve">title and abstract screening. </w:t>
      </w:r>
      <w:r w:rsidR="28753E7E" w:rsidRPr="008C17AC">
        <w:rPr>
          <w:rFonts w:ascii="Times New Roman" w:eastAsia="Times New Roman" w:hAnsi="Times New Roman" w:cs="Times New Roman"/>
        </w:rPr>
        <w:t xml:space="preserve">Following full-text screening, </w:t>
      </w:r>
      <w:r w:rsidR="73E479BC" w:rsidRPr="008C17AC">
        <w:rPr>
          <w:rFonts w:ascii="Times New Roman" w:eastAsia="Times New Roman" w:hAnsi="Times New Roman" w:cs="Times New Roman"/>
        </w:rPr>
        <w:t xml:space="preserve">172 </w:t>
      </w:r>
      <w:r w:rsidR="7D2C48A3" w:rsidRPr="008C17AC">
        <w:rPr>
          <w:rFonts w:ascii="Times New Roman" w:eastAsia="Times New Roman" w:hAnsi="Times New Roman" w:cs="Times New Roman"/>
        </w:rPr>
        <w:t>articles</w:t>
      </w:r>
      <w:r w:rsidR="2B215355" w:rsidRPr="008C17AC">
        <w:rPr>
          <w:rFonts w:ascii="Times New Roman" w:eastAsia="Times New Roman" w:hAnsi="Times New Roman" w:cs="Times New Roman"/>
        </w:rPr>
        <w:t xml:space="preserve"> were included</w:t>
      </w:r>
      <w:r w:rsidR="7D2C48A3" w:rsidRPr="008C17AC">
        <w:rPr>
          <w:rFonts w:ascii="Times New Roman" w:eastAsia="Times New Roman" w:hAnsi="Times New Roman" w:cs="Times New Roman"/>
        </w:rPr>
        <w:t xml:space="preserve"> </w:t>
      </w:r>
      <w:r w:rsidR="6A739F1A" w:rsidRPr="008C17AC">
        <w:rPr>
          <w:rFonts w:ascii="Times New Roman" w:eastAsia="Times New Roman" w:hAnsi="Times New Roman" w:cs="Times New Roman"/>
        </w:rPr>
        <w:t>for</w:t>
      </w:r>
      <w:r w:rsidR="7D2C48A3" w:rsidRPr="008C17AC">
        <w:rPr>
          <w:rFonts w:ascii="Times New Roman" w:eastAsia="Times New Roman" w:hAnsi="Times New Roman" w:cs="Times New Roman"/>
        </w:rPr>
        <w:t xml:space="preserve"> data-extraction</w:t>
      </w:r>
      <w:r w:rsidR="781B96F9" w:rsidRPr="008C17AC">
        <w:rPr>
          <w:rFonts w:ascii="Times New Roman" w:eastAsia="Times New Roman" w:hAnsi="Times New Roman" w:cs="Times New Roman"/>
        </w:rPr>
        <w:t xml:space="preserve">. </w:t>
      </w:r>
      <w:r w:rsidR="7A449BF5" w:rsidRPr="008C17AC">
        <w:rPr>
          <w:rFonts w:ascii="Times New Roman" w:eastAsia="Times New Roman" w:hAnsi="Times New Roman" w:cs="Times New Roman"/>
        </w:rPr>
        <w:t xml:space="preserve">From the reference lists of </w:t>
      </w:r>
      <w:r w:rsidR="7B2F322E" w:rsidRPr="008C17AC">
        <w:rPr>
          <w:rFonts w:ascii="Times New Roman" w:eastAsia="Times New Roman" w:hAnsi="Times New Roman" w:cs="Times New Roman"/>
        </w:rPr>
        <w:t>rel</w:t>
      </w:r>
      <w:r w:rsidR="6525D36D" w:rsidRPr="008C17AC">
        <w:rPr>
          <w:rFonts w:ascii="Times New Roman" w:eastAsia="Times New Roman" w:hAnsi="Times New Roman" w:cs="Times New Roman"/>
        </w:rPr>
        <w:t>e</w:t>
      </w:r>
      <w:r w:rsidR="7B2F322E" w:rsidRPr="008C17AC">
        <w:rPr>
          <w:rFonts w:ascii="Times New Roman" w:eastAsia="Times New Roman" w:hAnsi="Times New Roman" w:cs="Times New Roman"/>
        </w:rPr>
        <w:t>v</w:t>
      </w:r>
      <w:r w:rsidR="074F0991" w:rsidRPr="008C17AC">
        <w:rPr>
          <w:rFonts w:ascii="Times New Roman" w:eastAsia="Times New Roman" w:hAnsi="Times New Roman" w:cs="Times New Roman"/>
        </w:rPr>
        <w:t>a</w:t>
      </w:r>
      <w:r w:rsidR="7B2F322E" w:rsidRPr="008C17AC">
        <w:rPr>
          <w:rFonts w:ascii="Times New Roman" w:eastAsia="Times New Roman" w:hAnsi="Times New Roman" w:cs="Times New Roman"/>
        </w:rPr>
        <w:t>nt</w:t>
      </w:r>
      <w:r w:rsidR="18C48688" w:rsidRPr="008C17AC">
        <w:rPr>
          <w:rFonts w:ascii="Times New Roman" w:eastAsia="Times New Roman" w:hAnsi="Times New Roman" w:cs="Times New Roman"/>
        </w:rPr>
        <w:t xml:space="preserve"> </w:t>
      </w:r>
      <w:r w:rsidR="7A449BF5" w:rsidRPr="008C17AC">
        <w:rPr>
          <w:rFonts w:ascii="Times New Roman" w:eastAsia="Times New Roman" w:hAnsi="Times New Roman" w:cs="Times New Roman"/>
        </w:rPr>
        <w:t>reviews</w:t>
      </w:r>
      <w:r w:rsidR="5A32AD77" w:rsidRPr="008C17AC">
        <w:rPr>
          <w:rFonts w:ascii="Times New Roman" w:eastAsia="Times New Roman" w:hAnsi="Times New Roman" w:cs="Times New Roman"/>
        </w:rPr>
        <w:t>, we</w:t>
      </w:r>
      <w:r w:rsidR="7A449BF5" w:rsidRPr="008C17AC">
        <w:rPr>
          <w:rFonts w:ascii="Times New Roman" w:eastAsia="Times New Roman" w:hAnsi="Times New Roman" w:cs="Times New Roman"/>
        </w:rPr>
        <w:t xml:space="preserve"> assessed</w:t>
      </w:r>
      <w:r w:rsidR="19E94BAA" w:rsidRPr="008C17AC">
        <w:rPr>
          <w:rFonts w:ascii="Times New Roman" w:eastAsia="Times New Roman" w:hAnsi="Times New Roman" w:cs="Times New Roman"/>
        </w:rPr>
        <w:t xml:space="preserve"> the full texts </w:t>
      </w:r>
      <w:r w:rsidR="7EFDF80A" w:rsidRPr="008C17AC">
        <w:rPr>
          <w:rFonts w:ascii="Times New Roman" w:eastAsia="Times New Roman" w:hAnsi="Times New Roman" w:cs="Times New Roman"/>
        </w:rPr>
        <w:t>of</w:t>
      </w:r>
      <w:r w:rsidR="61D127ED" w:rsidRPr="008C17AC">
        <w:rPr>
          <w:rFonts w:ascii="Times New Roman" w:eastAsia="Times New Roman" w:hAnsi="Times New Roman" w:cs="Times New Roman"/>
        </w:rPr>
        <w:t xml:space="preserve"> additional </w:t>
      </w:r>
      <w:r w:rsidR="5E4ECB08" w:rsidRPr="008C17AC">
        <w:rPr>
          <w:rFonts w:ascii="Times New Roman" w:eastAsia="Times New Roman" w:hAnsi="Times New Roman" w:cs="Times New Roman"/>
        </w:rPr>
        <w:t>42 articles, of which we included three for data-</w:t>
      </w:r>
      <w:r w:rsidR="51CC899A" w:rsidRPr="008C17AC">
        <w:rPr>
          <w:rFonts w:ascii="Times New Roman" w:eastAsia="Times New Roman" w:hAnsi="Times New Roman" w:cs="Times New Roman"/>
        </w:rPr>
        <w:t>extraction</w:t>
      </w:r>
      <w:r w:rsidR="5E4ECB08" w:rsidRPr="008C17AC">
        <w:rPr>
          <w:rFonts w:ascii="Times New Roman" w:eastAsia="Times New Roman" w:hAnsi="Times New Roman" w:cs="Times New Roman"/>
        </w:rPr>
        <w:t>.</w:t>
      </w:r>
      <w:r w:rsidR="7A449BF5" w:rsidRPr="008C17AC">
        <w:rPr>
          <w:rFonts w:ascii="Times New Roman" w:eastAsia="Times New Roman" w:hAnsi="Times New Roman" w:cs="Times New Roman"/>
        </w:rPr>
        <w:t xml:space="preserve"> </w:t>
      </w:r>
      <w:r w:rsidR="781B96F9" w:rsidRPr="008C17AC">
        <w:rPr>
          <w:rFonts w:ascii="Times New Roman" w:eastAsia="Times New Roman" w:hAnsi="Times New Roman" w:cs="Times New Roman"/>
        </w:rPr>
        <w:t xml:space="preserve">During data-extraction, </w:t>
      </w:r>
      <w:r w:rsidR="7E1708D9" w:rsidRPr="008C17AC">
        <w:rPr>
          <w:rFonts w:ascii="Times New Roman" w:eastAsia="Times New Roman" w:hAnsi="Times New Roman" w:cs="Times New Roman"/>
        </w:rPr>
        <w:t xml:space="preserve">88 </w:t>
      </w:r>
      <w:r w:rsidR="76FD2E8E" w:rsidRPr="008C17AC">
        <w:rPr>
          <w:rFonts w:ascii="Times New Roman" w:eastAsia="Times New Roman" w:hAnsi="Times New Roman" w:cs="Times New Roman"/>
        </w:rPr>
        <w:t xml:space="preserve">further </w:t>
      </w:r>
      <w:r w:rsidR="7D2C48A3" w:rsidRPr="008C17AC">
        <w:rPr>
          <w:rFonts w:ascii="Times New Roman" w:eastAsia="Times New Roman" w:hAnsi="Times New Roman" w:cs="Times New Roman"/>
        </w:rPr>
        <w:t xml:space="preserve">articles were excluded, because </w:t>
      </w:r>
      <w:r w:rsidR="66396651" w:rsidRPr="008C17AC">
        <w:rPr>
          <w:rFonts w:ascii="Times New Roman" w:eastAsia="Times New Roman" w:hAnsi="Times New Roman" w:cs="Times New Roman"/>
        </w:rPr>
        <w:t xml:space="preserve">they were </w:t>
      </w:r>
      <w:r w:rsidR="2765246B" w:rsidRPr="008C17AC">
        <w:rPr>
          <w:rFonts w:ascii="Times New Roman" w:eastAsia="Times New Roman" w:hAnsi="Times New Roman" w:cs="Times New Roman"/>
        </w:rPr>
        <w:t>deemed</w:t>
      </w:r>
      <w:r w:rsidR="66396651" w:rsidRPr="008C17AC">
        <w:rPr>
          <w:rFonts w:ascii="Times New Roman" w:eastAsia="Times New Roman" w:hAnsi="Times New Roman" w:cs="Times New Roman"/>
        </w:rPr>
        <w:t xml:space="preserve"> out of scope</w:t>
      </w:r>
      <w:r w:rsidR="7D2C48A3" w:rsidRPr="008C17AC">
        <w:rPr>
          <w:rFonts w:ascii="Times New Roman" w:eastAsia="Times New Roman" w:hAnsi="Times New Roman" w:cs="Times New Roman"/>
        </w:rPr>
        <w:t xml:space="preserve">. </w:t>
      </w:r>
      <w:r w:rsidR="6980F172" w:rsidRPr="008C17AC">
        <w:rPr>
          <w:rFonts w:ascii="Times New Roman" w:eastAsia="Times New Roman" w:hAnsi="Times New Roman" w:cs="Times New Roman"/>
        </w:rPr>
        <w:t>Mos</w:t>
      </w:r>
      <w:r w:rsidR="0B77545A" w:rsidRPr="008C17AC">
        <w:rPr>
          <w:rFonts w:ascii="Times New Roman" w:eastAsia="Times New Roman" w:hAnsi="Times New Roman" w:cs="Times New Roman"/>
        </w:rPr>
        <w:t>t</w:t>
      </w:r>
      <w:r w:rsidR="6980F172" w:rsidRPr="008C17AC">
        <w:rPr>
          <w:rFonts w:ascii="Times New Roman" w:eastAsia="Times New Roman" w:hAnsi="Times New Roman" w:cs="Times New Roman"/>
        </w:rPr>
        <w:t xml:space="preserve"> of these did not test a formal intervention (n=27) or assessed an irrelevant outcome (</w:t>
      </w:r>
      <w:r w:rsidR="5E9D33B5" w:rsidRPr="008C17AC">
        <w:rPr>
          <w:rFonts w:ascii="Times New Roman" w:eastAsia="Times New Roman" w:hAnsi="Times New Roman" w:cs="Times New Roman"/>
        </w:rPr>
        <w:t>n=</w:t>
      </w:r>
      <w:r w:rsidR="7E1708D9" w:rsidRPr="008C17AC">
        <w:rPr>
          <w:rFonts w:ascii="Times New Roman" w:eastAsia="Times New Roman" w:hAnsi="Times New Roman" w:cs="Times New Roman"/>
        </w:rPr>
        <w:t>24</w:t>
      </w:r>
      <w:r w:rsidR="5E9D33B5" w:rsidRPr="008C17AC">
        <w:rPr>
          <w:rFonts w:ascii="Times New Roman" w:eastAsia="Times New Roman" w:hAnsi="Times New Roman" w:cs="Times New Roman"/>
        </w:rPr>
        <w:t>), such as</w:t>
      </w:r>
      <w:r w:rsidR="2D47C9D6" w:rsidRPr="008C17AC">
        <w:rPr>
          <w:rFonts w:ascii="Times New Roman" w:eastAsia="Times New Roman" w:hAnsi="Times New Roman" w:cs="Times New Roman"/>
        </w:rPr>
        <w:t xml:space="preserve"> the</w:t>
      </w:r>
      <w:r w:rsidR="5E9D33B5" w:rsidRPr="008C17AC">
        <w:rPr>
          <w:rFonts w:ascii="Times New Roman" w:eastAsia="Times New Roman" w:hAnsi="Times New Roman" w:cs="Times New Roman"/>
        </w:rPr>
        <w:t xml:space="preserve"> power of a study or whether a guideline could be retrieved.</w:t>
      </w:r>
      <w:r w:rsidR="6980F172" w:rsidRPr="008C17AC">
        <w:rPr>
          <w:rFonts w:ascii="Times New Roman" w:eastAsia="Times New Roman" w:hAnsi="Times New Roman" w:cs="Times New Roman"/>
        </w:rPr>
        <w:t xml:space="preserve"> </w:t>
      </w:r>
    </w:p>
    <w:p w14:paraId="02C3B26A" w14:textId="479623F8" w:rsidR="6B0D3BE1" w:rsidRPr="008C17AC" w:rsidRDefault="58C99F90" w:rsidP="23EF21E2">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rPr>
        <w:t>We</w:t>
      </w:r>
      <w:r w:rsidR="2C46981F" w:rsidRPr="008C17AC">
        <w:rPr>
          <w:rFonts w:ascii="Times New Roman" w:eastAsia="Times New Roman" w:hAnsi="Times New Roman" w:cs="Times New Roman"/>
        </w:rPr>
        <w:t xml:space="preserve"> thus</w:t>
      </w:r>
      <w:r w:rsidRPr="008C17AC">
        <w:rPr>
          <w:rFonts w:ascii="Times New Roman" w:eastAsia="Times New Roman" w:hAnsi="Times New Roman" w:cs="Times New Roman"/>
        </w:rPr>
        <w:t xml:space="preserve"> included data from </w:t>
      </w:r>
      <w:r w:rsidR="3192E0A3" w:rsidRPr="008C17AC">
        <w:rPr>
          <w:rFonts w:ascii="Times New Roman" w:eastAsia="Times New Roman" w:hAnsi="Times New Roman" w:cs="Times New Roman"/>
        </w:rPr>
        <w:t xml:space="preserve">86 </w:t>
      </w:r>
      <w:r w:rsidR="165F4A7D" w:rsidRPr="008C17AC">
        <w:rPr>
          <w:rFonts w:ascii="Times New Roman" w:eastAsia="Times New Roman" w:hAnsi="Times New Roman" w:cs="Times New Roman"/>
        </w:rPr>
        <w:t>report</w:t>
      </w:r>
      <w:r w:rsidRPr="008C17AC">
        <w:rPr>
          <w:rFonts w:ascii="Times New Roman" w:eastAsia="Times New Roman" w:hAnsi="Times New Roman" w:cs="Times New Roman"/>
        </w:rPr>
        <w:t>s in this scoping review</w:t>
      </w:r>
      <w:r w:rsidR="0A37BF14" w:rsidRPr="008C17AC">
        <w:rPr>
          <w:rFonts w:ascii="Times New Roman" w:eastAsia="Times New Roman" w:hAnsi="Times New Roman" w:cs="Times New Roman"/>
        </w:rPr>
        <w:t xml:space="preserve"> (Fig</w:t>
      </w:r>
      <w:r w:rsidR="1E1CDFFA" w:rsidRPr="008C17AC">
        <w:rPr>
          <w:rFonts w:ascii="Times New Roman" w:eastAsia="Times New Roman" w:hAnsi="Times New Roman" w:cs="Times New Roman"/>
        </w:rPr>
        <w:t>ure</w:t>
      </w:r>
      <w:r w:rsidR="0A37BF14" w:rsidRPr="008C17AC">
        <w:rPr>
          <w:rFonts w:ascii="Times New Roman" w:eastAsia="Times New Roman" w:hAnsi="Times New Roman" w:cs="Times New Roman"/>
        </w:rPr>
        <w:t xml:space="preserve"> 1)</w:t>
      </w:r>
      <w:r w:rsidR="4041567F" w:rsidRPr="008C17AC">
        <w:rPr>
          <w:rFonts w:ascii="Times New Roman" w:eastAsia="Times New Roman" w:hAnsi="Times New Roman" w:cs="Times New Roman"/>
        </w:rPr>
        <w:t xml:space="preserve"> </w:t>
      </w:r>
      <w:r w:rsidR="4E1D31D2" w:rsidRPr="008C17AC">
        <w:rPr>
          <w:rFonts w:ascii="Times New Roman" w:eastAsia="Times New Roman" w:hAnsi="Times New Roman" w:cs="Times New Roman"/>
        </w:rPr>
        <w:fldChar w:fldCharType="begin"/>
      </w:r>
      <w:r w:rsidR="4E1D31D2" w:rsidRPr="008C17AC">
        <w:rPr>
          <w:rFonts w:ascii="Times New Roman" w:eastAsia="Times New Roman" w:hAnsi="Times New Roman" w:cs="Times New Roman"/>
        </w:rPr>
        <w:instrText xml:space="preserve"> ADDIN ZOTERO_ITEM CSL_CITATION {"citationID":"UMFFM98S","properties":{"unsorted":false,"formattedCitation":"[48\\uc0\\u8211{}133]","plainCitation":"[48–133]","noteIndex":0},"citationItems":[{"id":29729,"uris":["http://zotero.org/groups/4983756/items/B2KKF53Q"],"itemData":{"id":29729,"type":"article-journal","abstract":"INTRODUCTION: The PROCESS guideline was developed in 2016 through expert Delphi consensus. It aimed to improve the quality of reporting of surgical case series. This study assessed the impact of the introduction of the PROCESS guideline on reporting for surgical case series submitted to three journals. METHODS: 20 case series published in the International Journal of Surgery Case Reports (IJSCR), the International Journal of Surgery (IJS) or the Annals of Medicine and Surgery (AMS) in September to December 2016, prior to the introduction of the PROCESS guideline (the pre-PROCESS period), were randomly identified and scored against the PROCESS criteria. Two authors independently scored each article a total score out of 29, the 'PROCESS score' (expressed as a percentage). Scores for the two researchers were compared and consensus was reached to achieve a final score set. The process was repeated for the January 2017 to April 2017 issues of the three journals, post PROCESS implementation (the post-PROCESS period). RESULTS: The mean PROCESS score was 80% (range 66-90%) for the pre-PROCESS period and 84% (range 72-95%) for the post-PROCESS period, a 4% relative increase [STATS]. The Cohen's Kappa score between researchers was 0.907 implying very substantial agreement. CONCLUSION: Implementation of the PROCESS guideline resulted in a 5% improvement in the reporting quality of surgical case series published in three journals. Further research is needed to identify and successfully navigate existing barriers to greater compliance. Authors, reviewers and editors should adhere to the guidelines to boost reporting quality. Journals should develop their policies and guide for authors to incorporate the guideline and mandate compliance.","container-title":"International Journal Of Surgery","DOI":"10.1016/j.ijsu.2017.07.079","ISSN":"1743-9159","page":"92-97","title":"Impact of the PROCESS guideline on the reporting of surgical case series: A before and after study","volume":"45","author":[{"literal":"Agha R A"},{"literal":"Borrelli M R"},{"literal":"Farwana R"},{"literal":"Kusu-Orkar T"},{"literal":"Millip M C"},{"literal":"Thavayogan R"},{"literal":"Garner J"},{"literal":"Darhouse N"},{"literal":"Orgill D P"}],"issued":{"date-parts":[["2017"]]}},"label":"page"},{"id":29727,"uris":["http://zotero.org/groups/4983756/items/L3DCK5IZ"],"itemData":{"id":29727,"type":"article-journal","abstract":"Background: Journals are an important conduit for the publication of research. However, the reporting quality of research has been shown to be lacking. We sought to determine if reporting quality could be improved by mandating compliance with the relevant reporting guidelines during the submission process to a single surgical journal. Method(s): The policy above was implemented in the International Journal of Surgery (IJS) in March 2013. This involved requiring all authors submitting observational studies, randomised controlled trials (RCTs) and systematic reviews to submit completed STROBE, CONSORT and PRISMA Statement checklists respectively along with their paper, making them available to the editor and peer-reviewers. Articles were analysed in three distinct periods from 2012 to 2014, before and after guideline implementation by two independent teams. Result(s): Our results show that overall STROBE compliance following implementation of the policy increased by a statistically significant 12% (68%-77%, p = 0.00018). Similarly CONSORT compliance increased (50%-70%) as did PRISMA compliance (48%-76%). The items that improved the most were those providing detail on study design, outcome definitions as well as measurement, how patients and quantitative variables were handled during the analyses and discussing limitations and detailing potential sources of bias. Conclusion(s): Implementing a policy mandating the submission of a completed reporting guideline checklist for observational studies, RCTs and systematic reviews can increase compliance. We advocate this measure for other journals and for other study types. Copyright © 2016 IJS Publishing Group Ltd.","container-title":"International Journal of Surgery","DOI":"10.1016/j.ijsu.2016.04.032","ISSN":"1743-9191 1743-9159","page":"169-172","title":"Impact of the mandatory implementation of reporting guidelines on reporting quality in a surgical journal: A before and after study","volume":"30","author":[{"literal":"Agha R A"},{"literal":"Fowler A J"},{"literal":"Limb C"},{"literal":"Whitehurst K"},{"literal":"Coe R"},{"literal":"Sagoo H"},{"literal":"Jafree D J"},{"literal":"Chandrakumar C"},{"literal":"Gundogan B"}],"issued":{"date-parts":[["2016"]]}}},{"id":29757,"uris":["http://zotero.org/groups/4983756/items/73UGTXN3"],"itemData":{"id":29757,"type":"article-journal","abstract":"BACKGROUND: There is increasing interest to make primary data from published research publicly available. We aimed to assess the current status of making research data available in highly-cited journals across the scientific literature. METHODS AND RESULTS: We reviewed the first 10 original research papers of 2009 published in the 50 original research journals with the highest impact factor. For each journal we documented the policies related to public availability and sharing of data. Of the 50 journals, 44 (88%) had a statement in their instructions to authors related to public availability and sharing of data. However, there was wide variation in journal requirements, ranging from requiring the sharing of all primary data related to the research to just including a statement in the published manuscript that data can be available on request. Of the 500 assessed papers, 149 (30%) were not subject to any data availability policy. Of the remaining 351 papers that were covered by some data availability policy, 208 papers (59%) did not fully adhere to the data availability instructions of the journals they were published in, most commonly (73%) by not publicly depositing microarray data. The other 143 papers that adhered to the data availability instructions did so by publicly depositing only the specific data type as required, making a statement of willingness to share, or actually sharing all the primary data. Overall, only 47 papers (9%) deposited full primary raw data online. None of the 149 papers not subject to data availability policies made their full primary data publicly available. CONCLUSION: A substantial proportion of original research papers published in high-impact journals are either not subject to any data availability policies, or do not adhere to the data availability instructions in their respective journals. This empiric evaluation highlights opportunities for improvement.","issue":"9","page":"e24357","title":"Public availability of published research data in high-impact journals","volume":"1","author":[{"literal":"Alsheikh-Ali A A"},{"literal":"Qureshi W"},{"literal":"Al-Mallah M H"},{"literal":"Ioannidis J P"}],"issued":{"date-parts":[["2011"]]}}},{"id":29767,"uris":["http://zotero.org/groups/4983756/items/QZAFC6D8"],"itemData":{"id":29767,"type":"article-journal","abstract":"Inconsistent findings between laboratories are hampering scientific progress and are of increasing public concern. Differences in laboratory environment is a known factor contributing to poor reproducibility of findings between research sites, and well-controlled multisite efforts are an important next step to identify the relevant factors needed to reduce variation in study outcome between laboratories. Through harmonization of apparatus, test protocol, and aligned and non-aligned environmental variables, the present study shows that behavioral pharmacological responses in Shank2 knockout (KO) rats, a model of synaptic dysfunction relevant to autism spectrum disorders, were highly replicable across three research centers. All three sites reliably observed a hyperactive and repetitive behavioral phenotype in KO rats compared to their wild-type littermates as well as a dose-dependent phenotype attenuation following acute injections of a selective mGluR1 antagonist. These results show that reproducibility in preclinical studies can be obtained and emphasizes the need for high quality and rigorous methodologies in scientific research. Considering the observed external validity, the present study also suggests mGluR1 as potential target for the treatment of autism spectrum disorders.","container-title":"Scientific Reports","DOI":"10.1038/s41598-019-47981-0","ISSN":"2045-2322","page":"11602","title":"Reproducibility via coordinated standardization: a multi-center study in a Shank2 genetic rat model for Autism Spectrum Disorders","volume":"9","author":[{"literal":"Arroyo-Araujo M"},{"literal":"Graf R"},{"literal":"Maco M"},{"literal":"van Dam E"},{"literal":"Schenker E"},{"literal":"Drinkenburg W"},{"literal":"Koopmans B"},{"literal":"de Boer S F"},{"literal":"Cullum-Doyle M"},{"literal":"Noldus Lpjj"},{"literal":"Loos M"},{"literal":"van Dommelen W"},{"literal":"Spooren W"},{"literal":"Biemans B"},{"literal":"Buhl D L"},{"literal":"Kas M J"}],"issued":{"date-parts":[["2019"]]}}},{"id":29793,"uris":["http://zotero.org/groups/4983756/items/RB68WVGJ"],"itemData":{"id":29793,"type":"article-journal","abstract":"We assess the impact of mandating data-sharing in economics journals on two dimensions of research credibility: statistical significance and excess statistical significance (ESS). ESS is a necessary condition for publication selection bias. Quasi-experimental difference-in-differences analysis of 20,121 estimates published in 24 general interest and leading field journals shows that data-sharing policies have reduced reported statistical significance and the associated t-values. The magnitude of this reduction is large and of practical significance. We also find suggestive evidence that mandatory data-sharing reduces ESS and hence decreases publication bias.","container-title":"Journal of the European Economic Association","DOI":"10.1093/jeea/jvac053","ISSN":"1542-4766","title":"The Significance of Data-Sharing Policy","author":[{"literal":"Askarov Z"},{"literal":"Doucouliagos A"},{"literal":"Doucouliagos H"},{"literal":"Stanley T D"}],"issued":{"date-parts":[["2022"]]}}},{"id":29713,"uris":["http://zotero.org/groups/4983756/items/RZGWQWAA"],"itemData":{"id":29713,"type":"article-journal","container-title":"Journal of Clinical Oncology","DOI":"10.1200/jco.2017.35.15_suppl.e14026","ISSN":"0732-183X","title":"Examining the adherence to CONSORT guidelines and the reporting of the enrollment process in clinical oncology randomized controlled trials: A review of trials published between 2013 and 2015","volume":"35","author":[{"literal":"Audet S"},{"literal":"Doyle C"},{"literal":"Lemieux C"},{"literal":"Lemieux J"}],"issued":{"date-parts":[["2017"]]}}},{"id":29753,"uris":["http://zotero.org/groups/4983756/items/IDQ2IABI"],"itemData":{"id":29753,"type":"article-journal","container-title":"Zeitschrift Fur Soziologie","DOI":"10.1515/zfsoz-2020-0001","ISSN":"0340-1804","issue":"1","page":"1-9","title":"More openness in research? An evaluation of open science measures at the Journal of Sociology","volume":"49","author":[{"literal":"Auspurg K"},{"literal":"Recker J"}],"issued":{"date-parts":[["2020"]]}}},{"id":31341,"uris":["http://zotero.org/groups/4983756/items/E587G6GP","http://zotero.org/groups/4983756/items/54LX8ND4"],"itemData":{"id":31341,"type":"article-journal","container-title":"BMC Medicine","DOI":"10.1186/s12916-015-0460-y","ISSN":"1741-7015","issue":"1","journalAbbreviation":"BMC Med","language":"en","page":"221","source":"DOI.org (Crossref)","title":"Impact of an online writing aid tool for writing a randomized trial report: the COBWEB (Consort-based WEB tool) randomized controlled trial","title-short":"Impact of an online writing aid tool for writing a randomized trial report","volume":"13","author":[{"family":"Barnes","given":"Caroline"},{"family":"Boutron","given":"Isabelle"},{"family":"Giraudeau","given":"Bruno"},{"family":"Porcher","given":"Raphael"},{"family":"Altman","given":"Douglas G"},{"family":"Ravaud","given":"Philippe"}],"issued":{"date-parts":[["2015",12]]}}},{"id":29684,"uris":["http://zotero.org/groups/4983756/items/LP5Y58W5"],"itemData":{"id":29684,"type":"article-journal","abstract":"Importance: Clinical trial data sharing holds promise for maximizing the value of clinical research. The International Committee of Medical Journal Editors (ICMJE) adopted a policy promoting data sharing in July 2018. Objective: To evaluate the association of the ICMJE data sharing policy with data availability and reproducibility of main conclusions among leading surgical journals. Design, Setting, and Participants: This cross-sectional study, conducted in October 2021, examined randomized clinical trials (RCTs) in 10 leading surgical journals before and after the implementation of the ICMJE data sharing policy in July 2018. Exposure: Implementation of the ICMJE data sharing policy. Main Outcomes and Measures: To demonstrate a pre-post increase in data availability from 5% to 25% (alpha = .05; beta = 0.1), 65 RCTs published before and 65 RCTs published after the policy was issued were included, and their data were requested. The primary outcome was data availability (ie, the receipt of sufficient data to enable reanalysis of the primary outcome). When data sharing was available, the primary outcomes reported in the journal articles were reanalyzed to explore reproducibility. The reproducibility features of these studies were detailed. Results: Data were available for 2 of 65 RCTs (3.1%) published before the ICMJE policy and for 2 of 65 RCTs (3.1%) published after the policy was issued (odds ratio, 1.00; 95% CI, 0.07-14.19; P &gt; .99). A data sharing statement was observed in 11 of 65 RCTs (16.9%) published after the policy vs none before the policy (risk ratio, 2.20; 95% CI, 1.81-2.68; P = .001). Data obtained for reanalysis (n = 4) were not from RCTs published with a data sharing statement. Of the 4 RCTs with available data, all of them had primary outcomes that were fully reproduced. However, discrepancies or inaccuracies that were not associated with study conclusions were identified in 3 RCTs. These concerned the number of patients included in 1 RCT, the management of missing values in another RCT, and discrepant timing for the principal outcome declared in the study registration and reported in the third RCT. Conclusions and Relevance: This cross-sectional study suggests that data sharing practices are rare in surgical journals despite the ICMJE policy and that most RCTs published in these journals lack transparency. The results of these studies may not be reproducible by external researchers.","container-title":"JAMA Network Open","DOI":"10.1001/jamanetworkopen.2022.15209","ISSN":"2574-3805","issue":"6","page":"e2215209","title":"Data Sharing and Reanalyses Among Randomized Clinical Trials Published in Surgical Journals Before and After Adoption of a Data Availability and Reproducibility Policy","volume":"5","author":[{"literal":"Bergeat D"},{"literal":"Lombard N"},{"literal":"Gasmi A"},{"literal":"Le Floch B"},{"literal":"Naudet F"}],"issued":{"date-parts":[["2022"]]}}},{"id":29704,"uris":["http://zotero.org/groups/4983756/items/FQ8FWNP8"],"itemData":{"id":29704,"type":"article-journal","abstract":"Objective To evaluate the impact of an editorial intervention to improve completeness of reporting of reports of randomised trials. Design Randomised controlled trial (RCT). Setting BMJ Open’s quality improvement programme. Participants 24 manuscripts describing RCTs. Interventions We used an R Shiny application to randomise manuscripts (1:1 allocation ratio, blocks of 4) to the intervention (n=12) or control (n=12) group. The intervention was performed by a researcher with expertise in the content of the Consolidated Standards of Reporting Trials (CONSORT) and consisted of an evaluation of completeness of reporting of eight core CONSORT items using the submitted checklist to locate information, and the production of a report containing specific requests for authors based on the reporting issues found, provided alongside the peer review reports. The control group underwent the usual peer review. Outcomes The primary outcome is the number of adequately reported items (0–8 scale) in the revised manuscript after the first round of peer review. The main analysis was intention-to-treat (n=24), and we imputed the scores of lost to follow-up manuscripts (rejected after peer review and not resubmitted). The secondary outcome is the proportion of manuscripts where each item was adequately reported. Two blinded reviewers assessed the outcomes independently and in duplicate and solved disagreements by consensus. We also recorded the amount of time to perform the intervention. Results Manuscripts in the intervention group (mean: 7.01; SD: 1.47) were more completely reported than those in the control group (mean: 5.68; SD: 1.43) (mean difference 1.43, 95% CI 0.31 to 2.58). We observed the main differences in items 6a (outcomes), 9 (allocation concealment mechanism), 11a (blinding) and 17a (outcomes and estimation). The mean time to perform the intervention was 87 (SD 42) min. Conclusions We demonstrated the benefit of involving a reporting guideline expert in the editorial process. Improving the completeness of RCTs is essential to enhance their usability. Trial registration number NCT03751878.","container-title":"BMJ Open","DOI":"10.1136/bmjopen-2020-036799","ISSN":"2044-6055, 2044-6055","issue":"5","page":"e036799","title":"Effect of an editorial intervention to improve the completeness of reporting of randomised trials: a randomised controlled trial","volume":"10","author":[{"literal":"Blanco David"},{"literal":"Schroter Sara"},{"literal":"Aldcroft Adrian"},{"literal":"Moher David"},{"literal":"Boutron Isabelle"},{"literal":"Kirkham Jamie J"},{"literal":"Cobo Erik"}],"issued":{"date-parts":[["2020"]]}}},{"id":29761,"uris":["http://zotero.org/groups/4983756/items/I97JABW6"],"itemData":{"id":29761,"type":"article-journal","abstract":"In February 2015, the editors of eight health economics journals sent out an editorial statement which aimed to reduce the extent of specification searching and reminds referees to accept studies that: 'have potential scientific and publication merit regardless of whether such studies' empirical findings do or do not reject null hypotheses'. Guided by a pre-analysis, we test whether the editorial statement decreased the extent of publication bias. Our differences-in-differences estimates suggest that the statement decreased the proportion of tests rejecting the null hypothesis by 18 percentage points. Our findings suggest that incentives may be aligned to promote more transparent research.","container-title":"Economic Journal","DOI":"10.1093/ej/ueaa011","ISSN":"0013-0133","issue":"629","page":"1226-1247","title":"Publication Bias and Editorial Statement on Negative Findings","volume":"130","author":[{"literal":"Blanco-Perez C"},{"literal":"Brodeur A"}],"issued":{"date-parts":[["2020"]]}}},{"id":29721,"uris":["http://zotero.org/groups/4983756/items/5YLZNVLF"],"itemData":{"id":29721,"type":"article-journal","abstract":"Background and objective: Randomised controlled trial (RCT) abstracts published in journal articles have traditionally been deficient of crucial information. To improve the quality of RCT abstracts, in January 2008, the Consolidated Standards of Reporting Trial (CONSORT) group published a checklist of essential information for inclusion. The current study assessed whether there has been an improvement in the quality of RCT abstracts published in main anaesthesia journals since this new guideline was introduced. Method(s): Articles involving human RCTs published in four highprofile anaesthesia journals (Anaesthesia, Anesthesia &amp; Analgesia, Anesthesiology and the European Journal of Anaesthesiology) were reviewed, comparing those published from October 2005 to September 2006 (pre-CONSORT abstracts) with those published from October 2008 to September 2009 (post-CONSORT abstracts). Trials involving healthy volunteers or cadavers, cost-effectiveness studies, meta-analyses and letters were excluded. Abstracts from remaining RCTs were randomly assigned to four reviewers in a blinded fashion and reviewed for content using the new CONSORT checklist. Result(s): In total, 527 RCT abstracts (pre-CONSORT RCTs, n=275 and post-CONSORT RCTs, n=252) were analysed. The majority of abstracts in both groups provided an appropriate description of study interventions (73.1 and 73.8%, pre-CONSORT abstracts versus post-CONSORT abstracts, respectively), objective (91.3 and 90.1%) and conclusions (72.4 and 66.3%). From pre-CONSORT to post-CONSORT guidelines for abstract reporting, there were significant improvements in correctly identifying blinding (18.2-29%) and harmful effects (31.6-42.1%). The improvement in reporting the nature of the trial in abstract titles (20.1-29%) and primary outcome measure in the methods section (22.9-30.6%) did not reach significance. There was no clear improvement in the already poor reporting of trial design, participants, randomisation, recruitment, outcomes, trial registration and funding sources. Conclusion(s): Despite some promising improvements and interjournal differences, the overall quality of RCT abstracts and adherence to the CONSORT checklist for abstracts remains poor. © 2011 European Society of Anaesthesiology.","container-title":"European Journal of Anaesthesiology","DOI":"10.1097/eja.0b013e32833fb96f","ISSN":"0265-0215 1365-2346","page":"485-492","title":"Has the quality of abstracts for randomised controlled trials improved since the release of Consolidated Standards of Reporting Trial guideline for abstract reporting? A survey of four high-profile anaesthesia journals","volume":"28(7)","author":[{"literal":"Can O S"},{"literal":"Yilmaz A A"},{"literal":"Hasdogan M"},{"literal":"Alkaya F"},{"literal":"Turhan S C"},{"literal":"Can M F"},{"literal":"Alanoglu Z"}],"issued":{"date-parts":[["2011"]]}}},{"id":29643,"uris":["http://zotero.org/groups/4983756/items/JHK75BT3"],"itemData":{"id":29643,"type":"article-journal","abstract":"OBJECTIVES: To determine the prevalence of reporting guideline endorsement in pathology journals and to estimate the impact of guideline endorsement. METHODS: We compared the quality of reporting in two sets of studies: (1) studies published in journals that explicitly mentioned a guideline vs studies published in journals that did not and (2) studies that cited a guideline vs studies that did not. The quality of reporting in prognostic biomarker studies was assessed using the REporting recommendations for tumor MARKer prognostic studies (REMARK) guideline. RESULTS: We found that six (10%) of the 59 leading pathology journals explicitly mention reporting guidelines in the instructions to authors. Only one journal required authors to submit a checklist. There was significant variation in the rate at which various REMARK items were reported (P &lt; .001). Journal endorsement was associated with more complete reporting (P = .04). Studies that cited REMARK had greater adherence to the REMARK reporting guidelines than studies that did not (P = .02). CONCLUSIONS: The prevalence of guideline endorsement is relatively low in pathology journals, but guideline endorsement may improve the quality of reporting.","container-title":"American Journal of Clinical Pathology","DOI":"10.1093/ajcp/aqx080","ISSN":"1943-7722","issue":"4","page":"314-322","title":"A Survey of the Prevalence and Impact of Reporting Guideline Endorsement in Pathology Journals","volume":"148","author":[{"literal":"Caron J E"},{"literal":"March J K"},{"literal":"Cohen M B"},{"literal":"Schmidt R L"}],"issued":{"date-parts":[["2017"]]}}},{"id":29763,"uris":["http://zotero.org/groups/4983756/items/WA29YIG7"],"itemData":{"id":29763,"type":"article-journal","abstract":"A complete declarative description of the computational environment is usually missing when researchers share their materials. Without such description, software obsolescence and missing system components can jeopardize computational reproducibility in the future, even when data and computer code are available. The R package rang is a complete solution for generating the declarative description for other researchers to automatically reconstruct the computational environment at a specific time point. The reconstruction process, based on Docker, has been tested for R code as old as 2001. The declarative description generated by rang satisfies the definition of a reproducible research compendium and can be shared as such. In this contribution, we show how rang can be used to make otherwise unexecutable code, spanning fields such as computational social science and bioinformatics, executable again. We also provide instructions on how to use rang to construct reproducible and shareable research compendia of current research. The package is currently available from CRAN (https://cran.r-project.org/web/packages/rang/index.html) and GitHub (https://github.com/chainsawriot/rang).","container-title":"PLoS ONE [Electronic Resource]","DOI":"10.1371/journal.pone.0286761","ISSN":"1932-6203","issue":"6","page":"e0286761","title":"rang: Reconstructing reproducible R computational environments","volume":"18","author":[{"literal":"Chan C H"},{"literal":"Schoch D"}],"issued":{"date-parts":[["2023"]]}}},{"id":29781,"uris":["http://zotero.org/groups/4983756/items/XAKY4JEP"],"itemData":{"id":29781,"type":"article-journal","abstract":"BACKGROUND: Abstracts are intended to be concise summaries of the entire randomised clinical trial (RCT). Despite their importance, few studies have examined the reporting quality of abstracts in the anaesthesiology literature. OBJECTIVES: To examine the quality of RCT abstract reporting according to the CONSORT for Abstracts guidelines and determine whether recommended items omitted from the abstract were present in the body of the article. DESIGN: A cross-sectional study of RCTs. SETTING: This study was performed at the University of Western Ontario and University Hospital, London Health Sciences Centre. PARTICIPANTS: All RCTs meeting inclusion criteria that were published in 2010 or 2016 in six general anaesthesiology journals (Anaesthesia, Anesthesia &amp; Analgesia, Anesthesiology, British Journal of Anaesthesia, Canadian Journal of Anesthesia and European Journal of Anaesthesiology). MAIN OUTCOME MEASURES: The 16 checklist items from the CONSORT for Abstracts statement were used to create a convenience score as a proxy for RCT abstract reporting quality, with each criterion measured as being reported in abstract, not reported in abstract but reported in full-text article, or not reported in abstract or full-text article. RESULTS: Of the 395 RCTs identified, 219 were published in 2010 and 176 were published in 2016. Out of the maximum possible score of 16, the median abstract score increased from 4 points [interquartile range (IQR): 3 to 5] in 2010 to 6 points [IQR: 5 to 8] in 2016. Although most checklist items showed improvement from 2010 to 2016, around 75% of RCTs in 2016 met fewer than half of the 16 items with no RCTs reporting all 16 items in the abstract. A majority of the RCTs had the information present in the full-text. In 2016, only 71 out of 176 (40%) of RCTs reported outcomes conforming to the CONSORT guidelines (with an effect size and a confidence interval around the effect size) in the Abstract. CONCLUSION: Abstracts for many anaesthesiology RCTs are incomplete selective summaries of the entire article.","container-title":"European Journal of Anaesthesiology","DOI":"10.1097/eja.0000000000000880","ISSN":"1365-2346","page":"942-948","title":"The degree of adherence to CONSORT reporting guidelines for the abstracts of randomised clinical trials published in anaesthesia journals: A cross-sectional study of reporting adherence in 2010 and 2016","author":[{"literal":"Chow J T. Y"},{"literal":"Turkstra T P"},{"literal":"Yim E"},{"literal":"Jones P M"}],"issued":{"date-parts":[["2018"]]}}},{"id":29747,"uris":["http://zotero.org/groups/4983756/items/59UAV68D"],"itemData":{"id":29747,"type":"article-journal","abstract":"Methodological reporting guidelines for studies of ERPs were updated in Psychophysiology in 2014. These guidelines facilitate the communication of key methodological parameters (e.g., preprocessing steps). Failing to report key parameters represents a barrier to replication efforts, and difficulty with replicability increases in the presence of small sample sizes and low statistical power. We assessed whether guidelines are followed and estimated the average sample size and power in recent research. Reporting behavior, sample sizes, and statistical designs were coded for 150 randomly sampled articles from five high-impact journals that frequently published ERP research from 2011 to 2017. An average of 63% of guidelines were reported, and reporting behavior was similar across journals, suggesting that gaps in reporting is a shortcoming of the field rather than any specific journal. Publication of the guidelines article had no impact on reporting behavior, suggesting that editors and peer reviewers are not enforcing these recommendations. The average sample size per group was 21. Statistical power was conservatively estimated as .72-.98 for a large effect size, .35-.73 for a medium effect, and .10-.18 for a small effect. These findings indicate that failing to report key guidelines is ubiquitous and that ERP studies are primarily powered to detect large effects. Such low power and insufficient following of reporting guidelines represent substantial barriers to replication efforts. The methodological transparency and replicability of studies can be improved by the open sharing of processing code and experimental tasks and by a priori sample size calculations to ensure adequately powered studies.","container-title":"Psychophysiology","DOI":"10.1111/psyp.13437","ISSN":"1540-5958","issue":"11","page":"e13437","title":"Methodological reporting behavior, sample sizes, and statistical power in studies of event-related potentials: Barriers to reproducibility and replicability","volume":"56","author":[{"literal":"Clayson P E"},{"literal":"Carbine K A"},{"literal":"Baldwin S A"},{"literal":"Larson M J"}],"issued":{"date-parts":[["2019"]]}}},{"id":29707,"uris":["http://zotero.org/groups/4983756/items/GPE7R87Z"],"itemData":{"id":29707,"type":"article-journal","abstract":"OBJECTIVE: To investigate the effect of an additional review based on reporting guidelines such as STROBE and CONSORT on quality of manuscripts. DESIGN: Masked randomised trial. Population Original research manuscripts submitted to the Medicina Clinica journal from May 2008 to April 2009 and considered suitable for publication. Intervention: CONTROL GROUP: conventional peer reviews alone. Intervention group: conventional review plus an additional review looking for missing items from reporting guidelines. Outcomes Manuscript quality, assessed with a 5 point Likert scale (primary: overall quality; secondary: average quality of specific items in paper). Main analysis compared groups as allocated, after adjustment for baseline factors (analysis of covariance); sensitivity analysis compared groups as reviewed. Adherence to reviewer suggestions assessed with Likert scale. RESULTS: Of 126 consecutive papers receiving conventional review, 34 were not suitable for publication. The remaining 92 papers were allocated to receive conventional reviews alone (n=41) or additional reviews (n=51). Four papers assigned to the conventional review group deviated from protocol; they received an additional review based on reporting guidelines. We saw an improvement in manuscript quality in favour of the additional review group (comparison as allocated, 0.25, 95% confidence interval -0.05 to 0.54; as reviewed, 0.33, 0.03 to 0.63). More papers with additional reviews than with conventional reviews alone improved from baseline (22 (43%) v eight (20%), difference 23.6% (3.2% to 44.0%), number needed to treat 4.2 (from 2.3 to 31.2), relative risk 2.21 (1.10 to 4.44)). Authors in the additional review group adhered more to suggestions from conventional reviews than to those from additional reviews (average increase 0.43 Likert points (0.19 to 0.67)). CONCLUSIONS: Additional reviews based on reporting guidelines improve manuscript quality, although the observed effect was smaller than hypothesised and not definitively demonstrated. Authors adhere more to suggestions from conventional reviews than to those from additional reviews, showing difficulties in adhering to high methodological standards at the latest research phases. To boost paper quality and impact, authors should be aware of future requirements of reporting guidelines at the very beginning of their study. Trial registration and protocol Although registries do not include trials of peer review, the protocol design was submitted to sponsored research projects (Instituto de Salud Carlos III, PI081903).","page":"d6783","title":"Effect of using reporting guidelines during peer review on quality of final manuscripts submitted to a biomedical journal: masked randomised trial","volume":"1","author":[{"literal":"Cobo E"},{"literal":"Cortes J"},{"literal":"Ribera J M"},{"literal":"Cardellach F"},{"literal":"Selva-O'Callaghan A"},{"literal":"Kostov B"},{"literal":"Garcia L"},{"literal":"Cirugeda L"},{"literal":"Altman D G"},{"literal":"Gonzalez J A"},{"literal":"Sanchez J A"},{"literal":"Miras F"},{"literal":"Urrutia A"},{"literal":"Fonollosa V"},{"literal":"Rey-Joly C"},{"literal":"Vilardell M"}],"issued":{"date-parts":[["2011"]]}}},{"id":29801,"uris":["http://zotero.org/groups/4983756/items/T2EZWLWC"],"itemData":{"id":29801,"type":"article-journal","abstract":"In April 2019, Psychological Science published its first issue in which all Research Articles received the Open Data badge. We used that issue to investigate the effectiveness of this badge, focusing on the adherence to its aim at Psychological Science: sharing both data and code to ensure reproducibility of results. Twelve researchers of varying experience levels attempted to reproduce the results of the empirical articles in the target issue (at least three researchers per article). We found that all 14 articles provided at least some data and six provided analysis code, but only one article was rated to be exactly reproducible, and three were rated as essentially reproducible with minor deviations. We suggest that researchers should be encouraged to adhere to the higher standard in force at Psychological Science. Moreover, a check of reproducibility during peer review may be preferable to the disclosure method of awarding badges. © The Author(s) 2023.","container-title":"Psychological Science","DOI":"10.1177/09567976221140828","ISSN":"09567976 (ISSN)","issue":"4","page":"512-522","title":"What’s in a Badge? A Computational Reproducibility Investigation of the Open Data Badge Policy in One Issue of Psychological Science","volume":"34","author":[{"literal":"Crüwell S"},{"literal":"Apthorp D"},{"literal":"Baker B J"},{"literal":"Colling L"},{"literal":"Elson M"},{"literal":"Geiger S J"},{"literal":"Lobentanzer S"},{"literal":"Monéger J"},{"literal":"Patterson A"},{"literal":"Schwarzkopf D S"},{"literal":"Zaneva M"},{"literal":"Brown N J. L"}],"issued":{"date-parts":[["2023"]]}}},{"id":29745,"uris":["http://zotero.org/groups/4983756/items/EBB66E8V"],"itemData":{"id":29745,"type":"article-journal","abstract":"Access to analytical code is essential for transparent and reproducible research. We review the state of code availability in ecology using a random sample of 346 nonmolecular articles published between 2015 and 2019 under mandatory or encouraged code-sharing policies. Our results call for urgent action to increase code availability: only 27% of eligible articles were accompanied by code. In contrast, data were available for 79% of eligible articles, highlighting that code availability is an important limiting factor for computational reproducibility in ecology. Although the percentage of ecological journals with mandatory or encouraged code-sharing policies has increased considerably, from 15% in 2015 to 75% in 2020, our results show that code-sharing policies are not adhered to by most authors. We hope these results will encourage journals, institutions, funding agencies, and researchers to address this alarming situation.","container-title":"Plos Biology","DOI":"10.1371/journal.pbio.3000763","ISSN":"1545-7885","issue":"7","page":"e3000763","title":"Low availability of code in ecology: A call for urgent action","volume":"18","author":[{"literal":"Culina A"},{"literal":"van den Berg I"},{"literal":"Evans S"},{"literal":"Sanchez-Tojar A"}],"issued":{"date-parts":[["2020"]]}}},{"id":29711,"uris":["http://zotero.org/groups/4983756/items/U4JCZJGV"],"itemData":{"id":29711,"type":"article-journal","abstract":"Importance: The benefits of responsible sharing of individual-participant data (IPD) from clinical studies are well recognized, but stakeholders often disagree on how to align those benefits with privacy risks, costs, and incentives for clinical trialists and sponsors. The International Committee of Medical Journal Editors (ICMJE) required a data sharing statement (DSS) from submissions reporting clinical trials effective July 1, 2018. The required DSSs provide a window into current data sharing rates, practices, and norms among trialists and sponsors. Objective: To evaluate the implementation of the ICMJE DSS requirement in 3 leading medical journals: JAMA, Lancet, and New England Journal of Medicine (NEJM). Design, Setting, and Participants: This is a cross-sectional study of clinical trial reports published as articles in JAMA, Lancet, and NEJM between July 1, 2018, and April 4, 2020. Articles not eligible for DSS, including observational studies and letters or correspondence, were excluded. A MEDLINE/PubMed search identified 487 eligible clinical trials in JAMA (112 trials), Lancet (147 trials), and NEJM (228 trials). Two reviewers evaluated each of the 487 articles independently. Exposure: Publication of clinical trial reports in an ICMJE medical journal requiring a DSS. Main Outcomes and Measures: The primary outcomes of the study were declared data availability and actual data availability in repositories. Other captured outcomes were data type, access, and conditions and reasons for data availability or unavailability. Associations with funding sources were examined. Results: A total of 334 of 487 articles (68.6%; 95% CI, 64%-73%) declared data sharing, with nonindustry NIH-funded trials exhibiting the highest rates of declared data sharing (89%; 95% CI, 80%-98%) and industry-funded trials the lowest (61%; 95% CI, 54%-68%). However, only 2 IPD sets (0.6%; 95% CI, 0.0%-1.5%) were actually deidentified and publicly available as of April 10, 2020. The remaining were supposedly accessible via request to authors (143 of 334 articles [42.8%]), repository (89 of 334 articles [26.6%]), and company (78 of 334 articles [23.4%]). Among the 89 articles declaring that IPD would be stored in repositories, only 17 (19.1%) deposited data, mostly because of embargo and regulatory approval. Embargo was set in 47.3% of data-sharing articles (158 of 334), and in half of them the period exceeded 1 year or was unspecified. Conclusions and Relevance: Most trials published in JAMA, Lancet, and NEJM after the implementation of the ICMJE policy declared their intent to make clinical data available. However, a wide gap between declared and actual data sharing exists. To improve transparency and data reuse, journals should promote the use of unique pointers to data set location and standardized choices for embargo periods and access requirements.","container-title":"JAMA Network Open","DOI":"10.1001/jamanetworkopen.2020.33972","ISSN":"2574-3805","issue":"1","page":"e2033972","title":"Evaluation of Data Sharing After Implementation of the International Committee of Medical Journal Editors Data Sharing Statement Requirement","volume":"4","author":[{"literal":"Danchev V"},{"literal":"Min Y"},{"literal":"Borghi J"},{"literal":"Baiocchi M"},{"literal":"Ioannidis J P. A"}],"issued":{"date-parts":[["2021"]]}}},{"id":29654,"uris":["http://zotero.org/groups/4983756/items/85QMFA8N"],"itemData":{"id":29654,"type":"article-journal","abstract":"INTRODUCTION: As biomedical research becomes more data-intensive, computational reproducibility is a growing area of importance. Unfortunately, many biomedical researchers have not received formal computational training and often struggle to produce results that can be reproduced using the same data, code, and methods. Programming workshops can be a tool to teach new computational methods, but it is not always clear whether researchers are able to use their new skills to make their work more computationally reproducible. METHODS: This mixed methods study consisted of in-depth interviews with 14 biomedical researchers before and after participation in an introductory programming workshop. During the interviews, participants described their research workflows and responded to a quantitative checklist measuring reproducible behaviors. The interview data was analyzed using a thematic analysis approach, and the pre and post workshop checklist scores were compared to assess the impact of the workshop on the computational reproducibility of the researchers' workflows. RESULTS: Pre and post scores on a checklist of reproducible behaviors did not change in a statistically significant manner. The qualitative interviews revealed that several participants had made small changes to their workflows including switching to open source programming languages for their data cleaning, analysis, and visualization. Overall many of the participants indicated higher levels of programming literacy, and an interest in further training. Factors that enabled change included supportive environments and an immediate research need, while barriers included collaborators that were resistant to new tools, and a lack of time. CONCLUSION: While none of the workshop participants completely changed their workflows, many of them did incorporate new practices, tools, or methods that helped make their work more reproducible and transparent to other researchers. This indicates that programming workshops now offered by libraries and other organizations contribute to computational reproducibility training for researchers.","container-title":"PLoS ONE [Electronic Resource]","DOI":"10.1371/journal.pone.0230697","ISSN":"1932-6203","issue":"7","page":"e0230697","title":"Assessing the impact of introductory programming workshops on the computational reproducibility of biomedical workflows","volume":"15","author":[{"literal":"Deardorff A"}],"issued":{"date-parts":[["2020"]]}}},{"id":29692,"uris":["http://zotero.org/groups/4983756/items/FNK5Y37X"],"itemData":{"id":29692,"type":"article-journal","abstract":"A number of publishers and funders, including PLOS, have recently adopted policies requiring researchers to share the data underlying their results and publications. Such policies help increase the reproducibility of the published literature, as well as make a larger body of data available for reuse and re-analysis. In this study, we evaluate the extent to which authors have complied with this policy by analyzing Data Availability Statements from 47,593 papers published in PLOS ONE between March 2014 (when the policy went into effect) and May 2016. Our analysis shows that compliance with the policy has increased, with a significant decline over time in papers that did not include a Data Availability Statement. However, only about 20% of statements indicate that data are deposited in a repository, which the PLOS policy states is the preferred method. More commonly, authors state that their data are in the paper itself or in the supplemental information, though it is unclear whether these data meet the level of sharing required in the PLOS policy. These findings suggest that additional review of Data Availability Statements or more stringent policies may be needed to increase data sharing.","container-title":"PLoS ONE [Electronic Resource]","DOI":"10.1371/journal.pone.0194768","ISSN":"1932-6203","issue":"5","page":"e0194768","title":"Data sharing in PLOS ONE: An analysis of Data Availability Statements","volume":"13","author":[{"literal":"Federer L M"},{"literal":"Belter C W"},{"literal":"Joubert D J"},{"literal":"Livinski A"},{"literal":"Lu Y L"},{"literal":"Snyders L N"},{"literal":"Thompson H"}],"issued":{"date-parts":[["2018"]]}}},{"id":29749,"uris":["http://zotero.org/groups/4983756/items/UEIESEJ4"],"itemData":{"id":29749,"type":"article-journal","abstract":"OBJECTIVES: The amyotrophic lateral sclerosis (ALS) research community was one of the first to adopt methodology guidelines to improve preclinical research reproducibility. We here present the results of a systematic review to investigate how the standards in this field changed over the 10-year period during which the guidelines were first published (2007) and updated (2010). METHODS: We searched for papers reporting ALS research on SOD1 (superoxide dismutase 1) mice published between 2005 and 2015 on the ISI Web of Science database, resulting in a sample of 569 papers to review, after triage. Two scores-one for methodological quality, one for regulatory compliance-were built from weighted sums of separate sets of items, and subjected to multivariable regression analysis, to assess how these related to publication year, type of study, country of origin and journal. RESULTS: Reporting standards improved over time. Of papers published after the first ALS guidelines were made public, fewer than 9% referred specifically to these. Of key research parameters, only three (genetic background, number of transgenes and group size) were reported in &gt;50% of the papers. Information on housing conditions, randomisation and blinding was absent in over two-thirds of the papers. Group size was among the best reported parameters, but the majority reported using fewer than the recommended sample size and only two studies clearly justified group size. CONCLUSIONS: General methodological standards improved gradually over a period of 8-10 years, but remained generally comparable with related fields with no specific guidelines, except with regard to severity. Only 11% of ALS studies were classified in the highest severity level (animals allowed to reach death or moribund stages), substantially below the proportion in studies of comparable neurodegenerative diseases such as Huntington's. The existence of field-specific guidelines, although a welcome indication of concern, seems insufficient to ensure adherence to high methodological standards. Other mechanisms may be required to improve methodological and welfare standards.","container-title":"BMJ Open Science","DOI":"10.1136/bmjos-2018-000016","ISSN":"2398-8703","issue":"1","page":"e000016","title":"Methodological standards, quality of reporting and regulatory compliance in animal research on amyotrophic lateral sclerosis: a systematic review","volume":"3","author":[{"literal":"Fernandes J G"},{"literal":"Franco N H"},{"literal":"Grierson A J"},{"literal":"Hultgren J"},{"literal":"Furley A J. W"},{"literal":"Olsson I A. S"}],"issued":{"date-parts":[["2019"]]}}},{"id":29670,"uris":["http://zotero.org/groups/4983756/items/QK4HV3S3"],"itemData":{"id":29670,"type":"article-journal","abstract":"In 2015, Comparative Political Studies embarked on a landmark pilot study in research transparency in the social sciences. The editors issued an open call for submissions of manuscripts that contained no mention of their actual results, incentivizing reviewers to evaluate manuscripts based on their theoretical contributions, research designs, and analysis plans. The three papers in this special issue are the result of this process that began with 19 submissions. In this article, we describe the rationale for this pilot, expressly articulating the practices of preregistration and results-free review. We document the process of carrying out the special issue with a discussion of the three accepted papers, and critically evaluate the role of both preregistration and results-free review. Our main conclusions are that results-free review encourages much greater attention to theory and research design, but that it raises thorny problems about how to anticipate and interpret null findings. We also observe that as currently practiced, results-free review has a particular affinity with experimental and cross-case methodologies. Our lack of submissions from scholars using qualitative or interpretivist research suggests limitations to the widespread use of results-free review. © 2016, © The Author(s) 2016.","container-title":"Comparative Political Studies","DOI":"10.1177/0010414016655539","ISSN":"00104140 (ISSN)","issue":"13","page":"1667-1703","title":"Can Results-Free Review Reduce Publication Bias? The Results and Implications of a Pilot Study","volume":"49","author":[{"literal":"Findley M G"},{"literal":"Jensen N M"},{"literal":"Malesky E J"},{"literal":"Pepinsky T B"}],"issued":{"date-parts":[["2016"]]}}},{"id":29731,"uris":["http://zotero.org/groups/4983756/items/MPKI2HWP"],"itemData":{"id":29731,"type":"article-journal","abstract":"Objectives. We assessed how the Transparent Reporting of Evaluations with Nonrandomized Designs (TREND) reporting guideline was used by authors and journal editors in journals' instructions to authors. We also evaluated its impact on reporting completeness and study quality. Methods. We extracted data from publications that cited TREND on how TREND was used in those reports; we also extracted information on journals' instructions to authors. We then undertook a case-control study of relevant publications to evaluate the impact of using TREND. Results. Between 2004 and 2013, TREND was cited 412 times, but it was only evidently applied to study reports 47 times. TREND was specifically mentioned 14 times in the sample of 61 instructions to authors. Some evidence suggested that use of TREND was associated with more comprehensive reporting and higher study quality ratings. Conclusions. TREND appeared to be underutilized by authors and journal editors despite its potential application and benefits. We found evidence that suggested that using TREND could contribute to more transparent and complete study reports. Even when authors reported using TREND, reporting completeness was still suboptimal. © 2014, American Public Health Association Inc. All rights reserved.","container-title":"American Journal of Public Health","DOI":"10.2105/ajph.2014.302195","ISSN":"00900036 (ISSN)","issue":"11","page":"e110-e117","title":"Impact of the transparent reporting of evaluations with nonrandomized designs reporting guideline: Ten years on","volume":"104","author":[{"literal":"Fuller T"},{"literal":"Peters J"},{"literal":"Pearson M"},{"literal":"Anderson R"}],"issued":{"date-parts":[["2014"]]}}},{"id":29789,"uris":["http://zotero.org/groups/4983756/items/FEQW5SU3"],"itemData":{"id":29789,"type":"article-journal","abstract":"Changes in statistical practices and reporting have been documented by Giofre et al. PLOS ONE 12(4), e0175583 (2017), who investigated ten statistical and open practices in two high-ranking journals (Psychological Science [PS] and Journal of Experimental Psychology-General [JEPG]): null hypothesis significance testing; confidence or credible intervals; meta-analysis of the results of multiple experiments; confidence interval interpretation; effect size interpretation; sample size determination; data exclusion; data availability; materials availability; and preregistered design and analysis plan. The investigation was based on an analysis of all papers published in these journals between 2013 and 2015. The aim of the present study was to follow up changes in both PS and JEPG in subsequent years, from 2016 to 2020, adding code availability as a further open practice. We found improvement in most practices, with some exceptions (i.e., confidence interval interpretation and meta-analysis). Despite these positive changes, our results indicate a need for further improvements in statistical practices and adoption of open practices.","container-title":"Behavior Research Methods","DOI":"10.3758/s13428-022-01993-3","ISSN":"1554-3528","page":"17","title":"The influence of journal submission guidelines on authors' reporting of statistics and use of open research practices: Five years later","volume":"17","author":[{"literal":"Giofre D"},{"literal":"Boedker I"},{"literal":"Cumming G"},{"literal":"Rivella C"},{"literal":"Tressoldi P"}],"issued":{"date-parts":[["2022"]]}}},{"id":29787,"uris":["http://zotero.org/groups/4983756/items/62NTD4RM"],"itemData":{"id":29787,"type":"article-journal","abstract":"From January 2014, Psychological Science introduced new submission guidelines that encouraged the use of effect sizes, estimation, and meta-analysis (the \"new statistics\"), required extra detail of methods, and offered badges for use of open science practices. We investigated the use of these practices in empirical articles published by Psychological Science and, for comparison, by the Journal of Experimental Psychology: General, during the period of January 2013 to December 2015. The use of null hypothesis significance testing (NHST) was extremely high at all times and in both journals. In Psychological Science, the use of confidence intervals increased markedly overall, from 28% of articles in 2013 to 70% in 2015, as did the availability of open data (3 to 39%) and open materials (7 to 31%). The other journal showed smaller or much smaller changes. Our findings suggest that journal-specific submission guidelines may encourage desirable changes in authors' practices.","container-title":"PLoS ONE [Electronic Resource]","DOI":"10.1371/journal.pone.0175583","ISSN":"1932-6203","issue":"4","page":"e0175583","title":"The influence of journal submission guidelines on authors' reporting of statistics and use of open research practices","volume":"12","author":[{"literal":"Giofre D"},{"literal":"Cumming G"},{"literal":"Fresc L"},{"literal":"Boedker I"},{"literal":"Tressoldi P"}],"issued":{"date-parts":[["2017"]]}}},{"id":29639,"uris":["http://zotero.org/groups/4983756/items/MPZL6QUA"],"itemData":{"id":29639,"type":"article-journal","abstract":"Positive (statistically significant) findings are easily produced in nutrition research when specific aspects of the research design and analysis are not accounted for. To address this issue, recently, a pledge was made to reform nutrition research and improve scientific trust on the science, encompass research transparency and achieve reproducibility. The aim of the present meta-epidemiological study was to evaluate the statistical significance status of research items published in three academic journals, all with a focus on clinical nutrition science and assessing certain methodological/transparency issues. All research items were published between the years 2015 and 2019. Study design, primary and secondary findings, sample size and age group, funding sources, positivist findings, the existence of a published research protocol and the adjustment of nutrients/dietary indexes to the energy intake (EI) of participants, were extracted for each study. Out of 2127 studies in total, those with positive findings consisted of the majority, in all three journals. Most studies had a published research protocol, however, this was mainly due to the randomized controlled trials and not to the evidence-synthesis studies. No differences were found in the distribution of positive findings according to the existence/inexistence of a published research protocol. In the pooled sample of studies, positive findings differed according to study design and more significant findings were reported by researchers failing to report any funding source. The majority of items published in the three journals (65.9%) failed to account for the EI of participants. The present results indicate that there is still room for the improvement of nutrition research in terms of design, analyses and reporting.","container-title":"Nutrients","DOI":"10.3390/nu14235164","ISSN":"2072-6643","issue":"23","page":"04","title":"A Meta-Epidemiological Study of Positive Results in Clinical Nutrition Research: The Good, the Bad and the Ugly of Statistically Significant Findings","volume":"14","author":[{"literal":"Gkiouras K"},{"literal":"Choleva M E"},{"literal":"Verrou A"},{"literal":"Goulis D G"},{"literal":"Bogdanos D P"},{"literal":"Grammatikopoulou M G"}],"issued":{"date-parts":[["2022"]]}}},{"id":29676,"uris":["http://zotero.org/groups/4983756/items/K4AYCCYV"],"itemData":{"id":29676,"type":"article-journal","abstract":"BACKGROUND: Discrepancies between pre-specified and reported outcomes are an important source of bias in trials. Despite legislation, guidelines and public commitments on correct reporting from journals, outcome misreporting continues to be prevalent. We aimed to document the extent of misreporting, establish whether it was possible to publish correction letters on all misreported trials as they were published, and monitor responses from editors and trialists to understand why outcome misreporting persists despite public commitments to address it. METHODS: We identified five high-impact journals endorsing Consolidated Standards of Reporting Trials (CONSORT) (New England Journal of Medicine, The Lancet, Journal of the American Medical Association, British Medical Journal, and Annals of Internal Medicine) and assessed all trials over a six-week period to identify every correctly and incorrectly reported outcome, comparing published reports against published protocols or registry entries, using CONSORT as the gold standard. A correction letter describing all discrepancies was submitted to the journal for all misreported trials, and detailed coding sheets were shared publicly. The proportion of letters published and delay to publication were assessed over 12 months of follow-up. Correspondence received from journals and authors was documented and themes were extracted. RESULTS: Sixty-seven trials were assessed in total. Outcome reporting was poor overall and there was wide variation between journals on pre-specified primary outcomes (mean 76% correctly reported, journal range 25-96%), secondary outcomes (mean 55%, range 31-72%), and number of undeclared additional outcomes per trial (mean 5.4, range 2.9-8.3). Fifty-eight trials had discrepancies requiring a correction letter (87%, journal range 67-100%). Twenty-three letters were published (40%) with extensive variation between journals (range 0-100%). Where letters were published, there were delays (median 99 days, range 0-257 days). Twenty-nine studies had a pre-trial protocol publicly available (43%, range 0-86%). Qualitative analysis demonstrated extensive misunderstandings among journal editors about correct outcome reporting and CONSORT. Some journals did not engage positively when provided correspondence that identified misreporting; we identified possible breaches of ethics and publishing guidelines. CONCLUSIONS: All five journals were listed as endorsing CONSORT, but all exhibited extensive breaches of this guidance, and most rejected correction letters documenting shortcomings. Readers are likely to be misled by this discrepancy. We discuss the advantages of prospective methodology research sharing all data openly and pro-actively in real time as feedback on critiqued studies. This is the first empirical study of major academic journals' willingness to publish a cohort of comparable and objective correction letters on misreported high-impact studies. Suggested improvements include changes to correspondence processes at journals, alternatives for indexed post-publication peer review, changes to CONSORT's mechanisms for enforcement, and novel strategies for research on methods and reporting.","container-title":"Trials [Electronic Resource]","DOI":"10.1186/s13063-019-3173-2","ISSN":"1745-6215","issue":"1","page":"118","title":"COMPare: a prospective cohort study correcting and monitoring 58 misreported trials in real time","volume":"20","author":[{"literal":"Goldacre B"},{"literal":"Drysdale H"},{"literal":"Dale A"},{"literal":"Milosevic I"},{"literal":"Slade E"},{"literal":"Hartley P"},{"literal":"Marston C"},{"literal":"Powell-Smith A"},{"literal":"Heneghan C"},{"literal":"Mahtani K R"}],"issued":{"date-parts":[["2019"]]}}},{"id":29658,"uris":["http://zotero.org/groups/4983756/items/65FP6AY7"],"itemData":{"id":29658,"type":"article-journal","abstract":"Although data sharing is one of the primary measures proposed to improve the integrity and quality of published research, studies show it remains the exception not the rule. The current study examines the availability of data in papers reporting the results of analyses of empirical data from original research in high-impact addiction journals. Thirteen high-impact journals with data sharing policies were selected from those included in the substance abuse category of the 2018 Clarivate Analytics' Journal Citation Report. The first 10 full or short original research reports that included empirical data in the most recent complete issue of each journal were electronically searched and reviewed for reference to where their data can be obtained and for a formal data sharing statement. Only eight of the 130 papers contained a data sharing statement in their text or supplementary online materials, and just one contained a direct link to the data analyzed. Data sharing was rare in the 13 high-impact addiction journals reviewed. The nature of the data reported in addiction journals might partly explain this. Currently, data sharing is not a procedure likely to improve the quality and integrity of published addiction research.","container-title":"Science &amp; Engineering Ethics","DOI":"10.1007/s11948-020-00203-7","ISSN":"1471-5546","issue":"3","page":"1625-1632","title":"Availability of Research Data in High-Impact Addiction Journals with Data Sharing Policies","volume":"26","author":[{"literal":"Gorman D M"}],"issued":{"date-parts":[["2020"]]}}},{"id":29647,"uris":["http://zotero.org/groups/4983756/items/NZBANY5T"],"itemData":{"id":29647,"type":"article-journal","abstract":"The microarray community has shown that the low reproducibility observed in gene expression-based biomarker discovery studies is partially due to relying solely on p-values to get the lists of differentially expressed genes. Their conclusions recommended complementing the p-value cutoff with the use of effect-size criteria. The aim of this work was to evaluate the influence of such an effect-size filter on spectral counting-based comparative proteomic analysis. The results proved that the filter increased the number of true positives and decreased the number of false positives and the false discovery rate of the dataset. These results were confirmed by simulation experiments where the effect size filter was used to evaluate systematically variable fractions of differentially expressed proteins. Our results suggest that relaxing the p-value cut-off followed by a post-test filter based on effect size and signal level thresholds can increase the reproducibility of statistical results obtained in comparative proteomic analysis. Based on our work, we recommend using a filter consisting of a minimum absolute log&lt;inf&gt;2&lt;/inf&gt; fold change of 0.8 and a minimum signal of 2-4 SpC on the most abundant condition for the general practice of comparative proteomics. The implementation of feature filtering approaches could improve proteomic biomarker discovery initiatives by increasing the reproducibility of the results obtained among independent laboratories and MS platforms. Biological significance: Quality control analysis of microarray-based gene expression studies pointed out that the low reproducibility observed in the lists of differentially expressed genes could be partially attributed to the fact that these lists are generated relying solely on p-values. Our study has established that the implementation of an effect size post-test filter improves the statistical results of spectral count-based quantitative proteomics. The results proved that the filter increased the number of true positives whereas decreased the false positives and the false discovery rate of the datasets. The results presented here prove that a post-test filter applying a reasonable effect size and signal level thresholds helps to increase the reproducibility of statistical results in comparative proteomic analysis. Furthermore, the implementation of feature filtering approaches could improve proteomic biomarker discovery initiatives by increasing the reproducibility of results obtained among independent laboratories and MS platforms.This article is part of a Special Issue entitled: Standardization and Quality Control in Proteomics. © 2013 Elsevier B.V.","container-title":"Journal of Proteomics","DOI":"10.1016/j.jprot.2013.05.030","ISSN":"1874-3919 1876-7737","page":"55-65","title":"An effect size filter improves the reproducibility in spectral counting-based comparative proteomics","volume":"95","author":[{"literal":"Gregori J"},{"literal":"Villarreal L"},{"literal":"Sanchez A"},{"literal":"Baselga J"},{"literal":"Villanueva J"}],"issued":{"date-parts":[["2013"]]}}},{"id":29743,"uris":["http://zotero.org/groups/4983756/items/RYBJMJH7"],"itemData":{"id":29743,"type":"article-journal","abstract":"Controversy over non-reproducible published research reporting a statistically significant result has produced substantial discussion in the literature. p-value calibration is a recently proposed procedure for adjusting p-values to account for both random and systematic errors that address one aspect of this problem. The method's validity rests on the key assumption that bias in an effect estimate is drawn from a normal distribution whose mean and variance can be correctly estimated. We investigated the method's control of type I and type II error rates using simulated and real-world data. Under mild violations of underlying assumptions, control of the type I error rate can be conservative, while under more extreme departures, it can be anti-conservative. The extent to which the assumption is violated in real-world data analyses is unknown. Barriers to testing the plausibility of the assumption using historical data are discussed. Our studies of the type II error rate using simulated and real-world electronic health care data demonstrated that calibrating p-values can substantially increase the type II error rate. The use of calibrated p-values may reduce the number of false-positive results, but there will be a commensurate drop in the ability to detect a true safety or efficacy signal. While p-value calibration can sometimes offer advantages in controlling the type I error rate, its adoption for routine use in studies of real-world health care datasets is premature. Separate characterizations of random and systematic errors provide a richer context for evaluating uncertainty surrounding effect estimates. Copyright © 2016 John Wiley &amp; Sons, Ltd.","issue":"22","page":"3869-3882","title":"Limitations of empirical calibration of p-values using observational data","volume":"1","author":[{"literal":"Gruber S"},{"literal":"Tchetgen Tchetgen"},{"literal":"E"}],"issued":{"date-parts":[["2016"]]}}},{"id":29755,"uris":["http://zotero.org/groups/4983756/items/RQBPNDEJ"],"itemData":{"id":29755,"type":"article-journal","abstract":"OBJECTIVES: To synthesise research investigating data and code sharing in medicine and health to establish an accurate representation of the prevalence of sharing, how this frequency has changed over time, and what factors influence availability. DESIGN: Systematic review with meta-analysis of individual participant data. DATA SOURCES: Ovid Medline, Ovid Embase, and the preprint servers medRxiv, bioRxiv, and MetaArXiv were searched from inception to 1 July 2021. Forward citation searches were also performed on 30 August 2022. REVIEW METHODS: Meta-research studies that investigated data or code sharing across a sample of scientific articles presenting original medical and health research were identified. Two authors screened records, assessed the risk of bias, and extracted summary data from study reports when individual participant data could not be retrieved. Key outcomes of interest were the prevalence of statements that declared that data or code were publicly or privately available (declared availability) and the success rates of retrieving these products (actual availability). The associations between data and code availability and several factors (eg, journal policy, type of data, trial design, and human participants) were also examined. A two stage approach to meta-analysis of individual participant data was performed, with proportions and risk ratios pooled with the Hartung-Knapp-Sidik-Jonkman method for random effects meta-analysis. RESULTS: The review included 105 meta-research studies examining 2 121 580 articles across 31 specialties. Eligible studies examined a median of 195 primary articles (interquartile range 113-475), with a median publication year of 2015 (interquartile range 2012-2018). Only eight studies (8%) were classified as having a low risk of bias. Meta-analyses showed a prevalence of declared and actual public data availability of 8% (95% confidence interval 5% to 11%) and 2% (1% to 3%), respectively, between 2016 and 2021. For public code sharing, both the prevalence of declared and actual availability were estimated to be &lt;0.5% since 2016. Meta-regressions indicated that only declared public data sharing prevalence estimates have increased over time. Compliance with mandatory data sharing policies ranged from 0% to 100% across journals and varied by type of data. In contrast, success in privately obtaining data and code from authors historically ranged between 0% and 37% and 0% and 23%, respectively. CONCLUSIONS: The review found that public code sharing was persistently low across medical research. Declarations of data sharing were also low, increasing over time, but did not always correspond to actual sharing of data. The effectiveness of mandatory data sharing policies varied substantially by journal and type of data, a finding that might be informative for policy makers when designing policies and allocating resources to audit compliance. SYSTEMATIC REVIEW REGISTRATION: Open Science Framework doi:10.17605/OSF.IO/7SX8U.","container-title":"BMJ","DOI":"10.1136/bmj-2023-075767","ISSN":"1756-1833","page":"e075767","title":"Prevalence and predictors of data and code sharing in the medical and health sciences: systematic review with meta-analysis of individual participant data","volume":"382","author":[{"literal":"Hamilton D G"},{"literal":"Hong K"},{"literal":"Fraser H"},{"literal":"Rowhani-Farid A"},{"literal":"Fidler F"},{"literal":"Page M J"}],"issued":{"date-parts":[["2023"]]}}},{"id":29723,"uris":["http://zotero.org/groups/4983756/items/J8VFZQZM"],"itemData":{"id":29723,"type":"article-journal","abstract":"BACKGROUND: Various stakeholders are calling for increased availability of data and code from cancer research. However, it is unclear how commonly these products are shared, and what factors are associated with sharing. Our objective was to evaluate how frequently oncology researchers make data and code available and explore factors associated with sharing. METHODS: A cross-sectional analysis of a random sample of 306 cancer-related articles indexed in PubMed in 2019 which studied research subjects with a cancer diagnosis was performed. All articles were independently screened for eligibility by two authors. Outcomes of interest included the prevalence of affirmative sharing declarations and the rate with which declarations connected to data complying with key FAIR principles (e.g. posted to a recognised repository, assigned an identifier, data license outlined, non-proprietary formatting). We also investigated associations between sharing rates and several journal characteristics (e.g. sharing policies, publication models), study characteristics (e.g. cancer rarity, study design), open science practices (e.g. pre-registration, pre-printing) and subsequent citation rates between 2020 and 2021. RESULTS: One in five studies declared data were publicly available (59/306, 19%, 95% CI: 15-24%). However, when data availability was investigated this percentage dropped to 16% (49/306, 95% CI: 12-20%), and then to less than 1% (1/306, 95% CI: 0-2%) when data were checked for compliance with key FAIR principles. While only 4% of articles that used inferential statistics reported code to be available (10/274, 95% CI: 2-6%), the odds of reporting code to be available were 5.6 times higher for researchers who shared data. Compliance with mandatory data and code sharing policies was observed in 48% (14/29) and 0% (0/6) of articles, respectively. However, 88% of articles (45/51) included data availability statements when required. Policies that encouraged data sharing did not appear to be any more effective than not having a policy at all. The only factors associated with higher rates of data sharing were studying rare cancers and using publicly available data to complement original research. CONCLUSIONS: Data and code sharing in oncology occurs infrequently, and at a lower rate than would be expected given the prevalence of mandatory sharing policies. There is also a large gap between those declaring data to be available, and those archiving data in a way that facilitates its reuse. We encourage journals to actively check compliance with sharing policies, and researchers consult community-accepted guidelines when archiving the products of their research.","container-title":"BMC Medicine","DOI":"10.1186/s12916-022-02644-2","ISSN":"1741-7015","issue":"1","page":"438","title":"How often do cancer researchers make their data and code available and what factors are associated with sharing?","volume":"20","author":[{"literal":"Hamilton D G"},{"literal":"Page M J"},{"literal":"Finch S"},{"literal":"Everitt S"},{"literal":"Fidler F"}],"issued":{"date-parts":[["2022"]]}}},{"id":29777,"uris":["http://zotero.org/groups/4983756/items/FDZJENVI"],"itemData":{"id":29777,"type":"article-journal","abstract":"Background: Trial registration and the reporting of trial results are essential to increase transparency in clinical research. Although both have been strongly promoted in recent years, it remains unclear whether they have been successfully implemented in surgery and surgery-related disciplines. In this cross-sectional study, we assessed whether randomized controlled trials (RCTs) published in surgery journals requiring trial registration in their author instructions were indeed registered, and whether the study results of registered RCTs had been submitted to the trial register and were thus publicly available.Methods: The ten highest ranked surgery journals requiring trial registration by impact factor (Journal Citation Reports, JCR, 2011) were chosen. We then searched MEDLINE (in PubMed) for RCTs published in the selected journals between 1 June 2012 and 31 December 2012. Any trials recruiting participants before 2004 were excluded because the International Committee of Medical Journal Editors (ICMJE) first proposed trial registration in 2004. We then searched the World Health Organization (WHO) International Clinical Trials Registry Platform (ICTRP) to assess whether the identified RCTs were indeed registered and whether the results of the registered RCTs were available in the register.Results: The search retrieved 588 citations. Four hundred and sixty references were excluded in the first screening. A further 25 were excluded after full-text screening. A total of 103 RCTs were finally included. Eighty-five of these RCTs (83%) could be found via the ICTRP. For 7 of 59 (12%) RCTs, which were registered on ClinicalTrials.gov, summary study data had been posted in the results database.Conclusions: Although still not fully implemented, trial registration in surgery has gained momentum. In general, however, the submission of summary study data to ClinicalTrials.gov remains poor. © 2013 Hardt et al.; licensee BioMed Central Ltd.","container-title":"Trials","DOI":"10.1186/1745-6215-14-407","ISSN":"17456215 (ISSN)","issue":"1","page":"407","title":"Surgical trials and trial registers: A cross-sectional study of randomized controlled trials published in journals requiring trial registration in the author instructions","volume":"14","author":[{"literal":"Hardt J L. S"},{"literal":"Metzendorf M I"},{"literal":"Meerpohl J J"}],"issued":{"date-parts":[["2013"]]}}},{"id":29652,"uris":["http://zotero.org/groups/4983756/items/7CNFRCL5"],"itemData":{"id":29652,"type":"article-journal","abstract":"For any scientific report, repeating the original analyses upon the original data should yield the original outcomes. We evaluated analytic reproducibility in 25 Psychological Science articles awarded open data badges between 2014 and 2015. Initially, 16 (64%, 95% confidence interval [43,81]) articles contained at least one 'major numerical discrepancy' (&gt;10% difference) prompting us to request input from original authors. Ultimately, target values were reproducible without author involvement for 9 (36% [20,59]) articles; reproducible with author involvement for 6 (24% [8,47]) articles; not fully reproducible with no substantive author response for 3 (12% [0,35]) articles; and not fully reproducible despite author involvement for 7 (28% [12,51]) articles. Overall, 37 major numerical discrepancies remained out of 789 checked values (5% [3,6]), but original conclusions did not appear affected. Non-reproducibility was primarily caused by unclear reporting of analytic procedures. These results highlight that open data alone is not sufficient to ensure analytic reproducibility.","container-title":"Royal Society Open Science","DOI":"10.1098/rsos.201494","ISSN":"2054-5703","issue":"1","page":"201494","title":"Analytic reproducibility in articles receiving open data badges at the journal Psychological Science: an observational study","volume":"8","author":[{"literal":"Hardwicke T E"},{"literal":"Bohn M"},{"literal":"MacDonald K"},{"literal":"Hembacher E"},{"literal":"Nuijten M B"},{"literal":"Peloquin B N"},{"literal":"deMayo B E"},{"literal":"Long B"},{"literal":"Yoon E J"},{"literal":"Frank M C"}],"issued":{"date-parts":[["2021"]]}}},{"id":29682,"uris":["http://zotero.org/groups/4983756/items/HS9HXUHT"],"itemData":{"id":29682,"type":"article-journal","abstract":"Access to data is a critical feature of an efficient, progressive and ultimately self-correcting scientific ecosystem. But the extent to which in-principle benefits of data sharing are realized in practice is unclear. Crucially, it is largely unknown whether published findings can be reproduced by repeating reported analyses upon shared data ('analytic reproducibility'). To investigate this, we conducted an observational evaluation of a mandatory open data policy introduced at the journal Cognition. Interrupted time-series analyses indicated a substantial post-policy increase in data available statements (104/417, 25% pre-policy to 136/174, 78% post-policy), although not all data appeared reusable (23/104, 22% pre-policy to 85/136, 62%, post-policy). For 35 of the articles determined to have reusable data, we attempted to reproduce 1324 target values. Ultimately, 64 values could not be reproduced within a 10% margin of error. For 22 articles all target values were reproduced, but 11 of these required author assistance. For 13 articles at least one value could not be reproduced despite author assistance. Importantly, there were no clear indications that original conclusions were seriously impacted. Mandatory open data policies can increase the frequency and quality of data sharing. However, suboptimal data curation, unclear analysis specification and reporting errors can impede analytic reproducibility, undermining the utility of data sharing and the credibility of scientific findings.","container-title":"Royal Society Open Science","DOI":"10.1098/rsos.180448","ISSN":"2054-5703","issue":"8","page":"180448","title":"Data availability, reusability, and analytic reproducibility: evaluating the impact of a mandatory open data policy at the journal Cognition","volume":"5","author":[{"literal":"Hardwicke T E"},{"literal":"Mathur M B"},{"literal":"MacDonald K"},{"literal":"Nilsonne G"},{"literal":"Banks G C"},{"literal":"Kidwell M C"},{"literal":"Hofelich Mohr"},{"literal":"A"},{"literal":"Clayton E"},{"literal":"Yoon E J"},{"literal":"Henry Tessler"},{"literal":"M"},{"literal":"Lenne R L"},{"literal":"Altman S"},{"literal":"Long B"},{"literal":"Frank M C"}],"issued":{"date-parts":[["2018"]]}}},{"id":29666,"uris":["http://zotero.org/groups/4983756/items/287UCC5Z"],"itemData":{"id":29666,"type":"article-journal","abstract":"Supervision is one important way to socialize Ph.D. candidates into open and responsible research. We hypothesized that one should be more likely to identify open science practices (here publishing open access and sharing data) in empirical publications that were part of a Ph.D. thesis when the Ph.D. candidates' supervisors engaged in these practices compared to those whose supervisors did not or less often did. Departing from thesis repositories at four Dutch University Medical centers, we included 211 pairs of supervisors and Ph.D. candidates, resulting in a sample of 2062 publications. We determined open access status using UnpaywallR and Open Data using Oddpub, where we also manually screened publications with potential open data statements. Eighty-three percent of our sample was published openly, and 9% had open data statements. Having a supervisor who published open access more often than the national average was associated with an odds of 1.99 to publish open access. However, this effect became nonsignificant when correcting for institutions. Having a supervisor who shared data was associated with 2.22 (CI:1.19-4.12) times the odds to share data compared to having a supervisor that did not. This odds ratio increased to 4.6 (CI:1.86-11.35) after removing false positives. The prevalence of open data in our sample was comparable to international studies; open access rates were higher. Whilst Ph.D. candidates spearhead initiatives to promote open science, this study adds value by investigating the role of supervisors in promoting open science.","container-title":"eLife","DOI":"10.7554/elife.83484","ISSN":"2050-084X","page":"22","title":"Biomedical supervisors' role modeling of open science practices","volume":"12","author":[{"literal":"Haven T L"},{"literal":"Abunijela S"},{"literal":"Hildebrand N"}],"issued":{"date-parts":[["2023"]]}}},{"id":29705,"uris":["http://zotero.org/groups/4983756/items/PLJ552U2"],"itemData":{"id":29705,"type":"article-journal","abstract":"Objective: To investigate the effect of the CONSORT for Abstracts guidelines, and different editorial policies used by five leading general medical journals to implement the guidelines, on the reporting quality of abstracts of randomised trials. Design(s): Interrupted time series analysis. Sample: We randomly selected up to 60 primary reports of randomised trials per journal per year from five high impact, general medical journals in 2006-09, if indexed in PubMed with an electronic abstract. We excluded reports that did not include an electronic abstract, and any secondary trial publications or economic analyses. We classified journals in three categories: those not mentioning the guidelines in their instructions to authors (JAMA and New England Journal of Medicine), those referring to the guidelines in their instructions to authors but with no specific policy to implement them (BMJ), and those referring to the guidelines in their instructions to authors with an active policy to implement them (Annals of Internal Medicine and Lancet). Two authors extracted data independently using the CONSORT for Abstracts checklist. Main outcome: Mean number of CONSORT items reported in selected abstracts, among nine items reported in fewer than 50% of the abstracts published across the five journals in 2006. Result(s): We assessed 955 reports of abstracts of randomised trials. Journals with an active policy to enforce the guidelines showed an immediate increase in the level of mean number of items reported (increase of 1.50 items; P=0.0037). At 23 months after publication of the guidelines, the mean number of items reported per abstract for the primary outcome was 5.41 of nine items, a 53% increase compared with the expected level estimated on the basis of pre-intervention trends. The change in level or trend did not increase in journals with no policy to enforce the guidelines (BMJ, JAMA, and New England Journal of Medicine). Conclusion(s): Active implementation of the CONSORT for Abstracts guidelines by journals can lead to improvements in the reporting of abstracts of randomised trials.","container-title":"BMJ (Online)","DOI":"10.1136/bmj.e4178","ISSN":"1756-1833 (electronic) 1756-1833","page":"e4178","title":"Effect of editors' implementation of CONSORT guidelines on the reporting of abstracts in high impact medical journals: Interrupted time series analysis","volume":"345(7864) (no pagination)","author":[{"literal":"Hopewell S"},{"literal":"Ravaud P"},{"literal":"Baron G"},{"literal":"Boutron I"}],"issued":{"date-parts":[["2012"]]}}},{"id":29725,"uris":["http://zotero.org/groups/4983756/items/97FR4IP8"],"itemData":{"id":29725,"type":"article-journal","abstract":"The CONSORT Statement is an evidence-informed guideline for reporting randomised controlled trials. A number of extensions have been developed that specify additional information to report for more complex trials. The aim of this study was to evaluate the impact of using a simple web-based tool (WebCONSORT, which incorporates a number of different CONSORT extensions) on the completeness of reporting of randomised trials published in biomedical publications.","container-title":"BMC Medicine","DOI":"10.1186/s12916-016-0736-x","ISSN":"1741-7015","issue":"1","page":"199","title":"Impact of a web-based tool (WebCONSORT) to improve the reporting of randomised trials: results of a randomised controlled trial","volume":"14","author":[{"literal":"Hopewell Sally"},{"literal":"Boutron Isabelle"},{"literal":"Altman Douglas G"},{"literal":"Barbour Ginny"},{"literal":"Moher David"},{"literal":"Montori Victor"},{"literal":"Schriger David"},{"literal":"Cook Jonathan"},{"literal":"Gerry Stephen"},{"literal":"Omar Omar"},{"literal":"Dutton Peter"},{"literal":"Roberts Corran"},{"literal":"Frangou Eleni"},{"literal":"Clifton Lei"},{"literal":"Chiocchia Virginia"},{"literal":"Rombach Ines"},{"literal":"Wartolowska Karolina"},{"literal":"Ravaud Philippe"}],"issued":{"date-parts":[["2016"]]}}},{"id":29783,"uris":["http://zotero.org/groups/4983756/items/R7I5CAYC"],"itemData":{"id":29783,"type":"article-journal","abstract":"Background: The SQUIRE (Standards of QUality Improvement Reporting Excellence) guidelines were developed to improve the reporting of quality improvement (QI) projects. The effect of the guidelines on the completeness of reporting in the QI literature is unknown. Objective(s): Our primary objective was to determine if the completeness of reporting in the QI literature has been improved[OUP-CE13] since the introduction of the SQUIRE guidelines. Method(s): We performed a before-and-after evaluation of QI articles selected from four prominent journals of healthcare quality. Twentyfive articles published in each of two time periods (2006-2008 and 2010-2011) were confirmed to be QI projects using a standardised definition and were independently evaluated by two investigators as an interim evaluation of a planned larger sample. Articles were assessed using 50 statements of the SQUIRE guidelines, and the overall change in the completeness of reporting between the two groups was determined. The value of p&lt;0.05 was considered significant. Result(s): Both groups were similar in characteristics. There was no significant difference in the mean (SD) number of SQUIRE statements completed by authors before and after publication of the SQUIRE guidelines, 20.2 (5.0) versus 20.4 (7.0), p=0.9. The study was stopped early due to the absence of any significant trend in the completeness of reporting. Discussion(s): There was no overall improvement observed in the completeness of reporting of QI projects after the publication of the SQUIRE guidelines, and the study was stopped early. There is potential for improvement in reporting standards, particularly for those guideline items or statements specific to QI projects.","container-title":"BMJ Quality and Safety","DOI":"10.1136/bmjqs-2014-003737","ISSN":"2044-5415","page":"400-406","title":"The effect of the SQUIRE (Standards of QUality Improvement Reporting Excellence) guidelines on reporting standards in the quality Improvement literature: A before-and-after study","volume":"24(6)","author":[{"literal":"Howell V"},{"literal":"Schwartz A E"},{"literal":"O'Leary J D"},{"literal":"McDonnell C"}],"issued":{"date-parts":[["2015"]]}}},{"id":29641,"uris":["http://zotero.org/groups/4983756/items/MFFPNQCY"],"itemData":{"id":29641,"type":"article-journal","abstract":"The utility of mouse and rat studies critically depends on their replicability in other laboratories. A widely advocated approach to improving replicability is through the rigorous control of predefined animal or experimental conditions, known as standardization. However, this approach limits the generalizability of the findings to only to the standardized conditions and is a potential cause rather than solution to what has been called a replicability crisis. Alternative strategies include estimating the heterogeneity of effects across laboratories, either through designs that vary testing conditions, or by direct statistical analysis of laboratory variation. We previously evaluated our statistical approach for estimating the interlaboratory replicability of a single laboratory discovery. Those results, however, were from a well-coordinated, multi-lab phenotyping study and did not extend to the more realistic setting in which laboratories are operating independently of each other. Here, we sought to test our statistical approach as a realistic prospective experiment, in mice, using 152 results from 5 independent published studies deposited in the Mouse Phenome Database (MPD). In independent replication experiments at 3 laboratories, we found that 53 of the results were replicable, so the other 99 were considered non-replicable. Of the 99 non-replicable results, 59 were statistically significant (at 0.05) in their original single-lab analysis, putting the probability that a single-lab statistical discovery was made even though it is non-replicable, at 59.6%. We then introduced the dimensionless \"Genotype-by-Laboratory\" (GxL) factor-the ratio between the standard deviations of the GxL interaction and the standard deviation within groups. Using the GxL factor reduced the number of single-lab statistical discoveries and alongside reduced the probability of a non-replicable result to be discovered in the single lab to 12.1%. Such reduction naturally leads to reduced power to make replicable discoveries, but this reduction was small (from 87% to 66%), indicating the small price paid for the large improvement in replicability. Tools and data needed for the above GxL adjustment are publicly available at the MPD and will become increasingly useful as the range of assays and testing conditions in this resource increases.","container-title":"Plos Biology","DOI":"10.1371/journal.pbio.3002082","ISSN":"1545-7885","issue":"5","page":"e3002082","title":"A multi-lab experimental assessment reveals that replicability can be improved by using empirical estimates of genotype-by-lab interaction","volume":"21","author":[{"literal":"Jaljuli I"},{"literal":"Kafkafi N"},{"literal":"Giladi E"},{"literal":"Golani I"},{"literal":"Gozes I"},{"literal":"Chesler E J"},{"literal":"Bogue M A"},{"literal":"Benjamini Y"}],"issued":{"date-parts":[["2023"]]}}},{"id":29664,"uris":["http://zotero.org/groups/4983756/items/YBH5PN9S"],"itemData":{"id":29664,"type":"article-journal","abstract":"Beginning January 2014, Psychological Science gave authors the opportunity to signal open data and materials if they qualified for badges that accompanied published articles. Before badges, less than 3% of Psychological Science articles reported open data. After badges, 23% reported open data, with an accelerating trend; 39% reported open data in the first half of 2015, an increase of more than an order of magnitude from baseline. There was no change over time in the low rates of data sharing among comparison journals. Moreover, reporting openness does not guarantee openness. When badges were earned, reportedly available data were more likely to be actually available, correct, usable, and complete than when badges were not earned. Open materials also increased to a weaker degree, and there was more variability among comparison journals. Badges are simple, effective signals to promote open practices and improve preservation of data and materials by using independent repositories. Copyright © 2016 Kidwell et al.","container-title":"PLoS Biology","DOI":"10.1371/journal.pbio.1002456","ISSN":"1544-9173 1545-7885","page":"e1002456","title":"Badges to Acknowledge Open Practices: A Simple, Low-Cost, Effective Method for Increasing Transparency","volume":"14(5) (no pagination)","author":[{"literal":"Kidwell M C"},{"literal":"Lazarevic L B"},{"literal":"Baranski E"},{"literal":"Hardwicke T E"},{"literal":"Piechowski S"},{"literal":"Falkenberg L S"},{"literal":"Kennett C"},{"literal":"Slowik A"},{"literal":"Sonnleitner C"},{"literal":"Hess-Holden C"},{"literal":"Errington T M"},{"literal":"Fiedler S"},{"literal":"Nosek B A"}],"issued":{"date-parts":[["2016"]]}}},{"id":29633,"uris":["http://zotero.org/groups/4983756/items/VL2APV8I"],"itemData":{"id":29633,"type":"article-journal","abstract":"This article reports results of a field experiment in which two hundred e-mails were sent to authors of recent articles in economics that had promised to send the interested reader supplementary material, such as alternative econometric specifications, \"upon request.\" The e-mails were sent either by a researcher affiliated at Columbia University, New York or the University of Warsaw, Poland; furthermore, the authors' position (assistant professor) was specified in half the e-mails only. Overall, 64% of the approached authors responded to our message, of which two thirds (44% of the entire sample) delivered the requested materials. The frequency and speed of responding and delivering were very weakly affected by the position and affiliation of the sender. Gender or affiliation of the author, number of citations or journal impact factor or the type of object in question seemed to make no difference. However, authors of published articles were much more likely to share than authors of working papers.","issue":"3","page":"175-186","title":"(Un)available upon request: field experiment on researchers' willingness to share supplementary materials","volume":"1","author":[{"literal":"Krawczyk M"},{"literal":"Reuben E"}],"issued":{"date-parts":[["2012"]]}}},{"id":29649,"uris":["http://zotero.org/groups/4983756/items/74N96CIV"],"itemData":{"id":29649,"type":"article-journal","container-title":"Journal of Evidence-based Medicine","DOI":"10.1111/jebm.12533","ISSN":"1756-5391","issue":"2","page":"116-119","title":"An evaluation of reporting guidelines and Clinical Trial Registry requirements among anesthesiology journals","volume":"16","author":[{"literal":"Ladd C"},{"literal":"Greenough M C"},{"literal":"Reddy A K"},{"literal":"Garrett E"},{"literal":"Peterson A"},{"literal":"Pierce A"},{"literal":"Wenger D"},{"literal":"Moore M"},{"literal":"Vassar M"}],"issued":{"date-parts":[["2023"]]}}},{"id":29771,"uris":["http://zotero.org/groups/4983756/items/V2WB6YWA"],"itemData":{"id":29771,"type":"article-journal","abstract":"In 2019 the Journal of Memory and Language instituted an open data and code policy; this policy requires that, as a rule, code and data be released at the latest upon publication. How effective is this policy? We compared 59 papers published before, and 59 papers published after, the policy took effect. After the policy was in place, the rate of data sharing increased by more than 50%. We further looked at whether papers published under the open data policy were reproducible, in the sense that the published results should be possible to regenerate given the data, and given the code, when code was provided. For 8 out of the 59 papers, data sets were inaccessible. The reproducibility rate ranged from 34% to 56%, depending on the reproducibility criteria. The strongest predictor of whether an attempt to reproduce would be successful is the presence of the analysis code: it increases the probability of reproducing reported results by almost 40%. We propose two simple steps that can increase the reproducibility of published papers: share the analysis code, and attempt to reproduce one's own analysis using only the shared materials. © 2022 The Author(s)","container-title":"Journal of Memory and Language","DOI":"10.1016/j.jml.2022.104332","ISSN":"0749596X (ISSN)","page":"104332","title":"Share the code, not just the data: A case study of the reproducibility of articles published in the Journal of Memory and Language under the open data policy","volume":"125","author":[{"literal":"Laurinavichyute A"},{"literal":"Yadav H"},{"literal":"Vasishth S"}],"issued":{"date-parts":[["2022"]]}}},{"id":29733,"uris":["http://zotero.org/groups/4983756/items/K4XP4RS8"],"itemData":{"id":29733,"type":"article-journal","abstract":"PURPOSE: Research papers involving animal studies often display poor reporting standards, leading to lower study reproducibility. We aim to determine the difference in reporting animal studies regarding abdominal wall hernia repair with mesh placement, before and after the publication of ARRIVE-2010 (Animal Research: Reporting of In Vivo Experiments) guidelines. Furthermore, we aim to present the most up-to-date reporting quality using the updated ARRIVE-2020 as criteria. METHODS: All animal studies concerning hernia repair with meshes were systematically searched. Articles published in the 5 years leading up to the ARRIVE-2010 (pre-ARRIVE) and articles within the last 5 years until the updated ARRIVE 2.0 (post-ARRIVE) were compared for overall species and specific species separately. Articles published last year were evaluated for presenting fully reported (sub)items. RESULTS: The number of fully reported (sub)items per article was on average significantly higher for pre-ARRIVE than post-ARRIVE for overall species (mean (SD) = 14.0 (2.8) vs. 12.6 (2.5), P &lt; 0.001). The same applies to rabbit (mean (SD) = 14.8 (2.6) vs. 12.6 (2.6), P = 0.001) and pig studies (mean (SD) = 14.5 (2.7) vs. 11.6 (2.6), P = 0.004), with no significance in rat studies (mean (SD) = 13.6 (2.9) vs. 12.9 (2.3), P = 0.076). Significance was found in several (sub)items between pre-ARRIVE and post-ARRIVE (n = 7, 3, 8, and 3 for overall species, rat, rabbit, and pig studies, respectively). CONCLUSION: General reporting quality of animal experiments has been improved markedly by ARRIVE guidelines. However, more improvements are required considering the arrival of ARRIVE 2.0 guidelines.","container-title":"Hernia","DOI":"10.1007/s10029-020-02351-y","ISSN":"1248-9204","issue":"2","page":"389-400","title":"Inadequate awareness of adherence to ARRIVE guidelines, regarding reporting quality of hernia models repaired with meshes: a systematic review","volume":"26","author":[{"literal":"Liu H"},{"literal":"Gielen Mjcam"},{"literal":"Bosmans Jwam"},{"literal":"Winkens B"},{"literal":"Bouvy N D"}],"issued":{"date-parts":[["2022"]]}}},{"id":29769,"uris":["http://zotero.org/groups/4983756/items/U6JD7RUC"],"itemData":{"id":29769,"type":"article-journal","abstract":"Big biomedical data create exciting opportunities for discovery, but make it difficult to capture analyses and outputs in forms that are findable, accessible, interoperable, and reusable (FAIR). In response, we describe tools that make it easy to capture, and assign identifiers to, data and code throughout the data lifecycle. We illustrate the use of these tools via a case study involving a multi-step analysis that creates an atlas of putative transcription factor binding sites from terabytes of ENCODE DNase I hypersensitive sites sequencing data. We show how the tools automate routine but complex tasks, capture analysis algorithms in understandable and reusable forms, and harness fast networks and powerful cloud computers to process data rapidly, all without sacrificing usability or reproducibility-thus ensuring that big data are not hard-to-(re)use data. We evaluate our approach via a user study, and show that 91% of participants were able to replicate a complex analysis involving considerable data volumes.","container-title":"PLoS ONE [Electronic Resource]","DOI":"10.1371/journal.pone.0213013","ISSN":"1932-6203","issue":"4","page":"e0213013","title":"Reproducible big data science: A case study in continuous FAIRness","volume":"14","author":[{"literal":"Madduri R"},{"literal":"Chard K"},{"literal":"D'Arcy M"},{"literal":"Jung S C"},{"literal":"Rodriguez A"},{"literal":"Sulakhe D"},{"literal":"Deutsch E"},{"literal":"Funk C"},{"literal":"Heavner B"},{"literal":"Richards M"},{"literal":"Shannon P"},{"literal":"Glusman G"},{"literal":"Price N"},{"literal":"Kesselman C"},{"literal":"Foster I"}],"issued":{"date-parts":[["2019"]]}}},{"id":29779,"uris":["http://zotero.org/groups/4983756/items/XATHP6HH"],"itemData":{"id":29779,"type":"article-journal","abstract":"The scientific enterprise depends critically on the preservation of and open access to published data. This basic tenet applies acutely to phylogenies (estimates of evolutionary relationships among species). Increasingly, phylogenies are estimated from increasingly large, genome-scale datasets using increasingly complex statistical methods that require increasing levels of expertise and computational investment. Moreover, the resulting phylogenetic data provide an explicit historical perspective that critically informs research in a vast and growing number of scientific disciplines. One such use is the study of changes in rates of lineage diversification (speciation--extinction) through time. As part of a meta-analysis in this area, we sought to collect phylogenetic data (comprising nucleotide sequence alignment and tree files) from 217 studies published in 46 journals over a 13-year period. We document our attempts to procure those data (from online archives and by direct request to corresponding authors), and report results of analyses (using Bayesian logistic regression) to assess the impact of various factors on the success of our efforts. Overall, complete phylogenetic data for [Formula: see text] of these studies are effectively lost to science. Our study indicates that phylogenetic data are more likely to be deposited in online archives and/or shared upon request when: (1) the publishing journal has a strong data-sharing policy; (2) the publishing journal has a higher impact factor, and; (3) the data are requested from faculty rather than students. Importantly, our survey spans recent policy initiatives and infrastructural changes; our analyses indicate that the positive impact of these community initiatives has been both dramatic and immediate. Although the results of our study indicate that the situation is dire, our findings also reveal tremendous recent progress in the sharing and preservation of phylogenetic data.","container-title":"PLoS ONE [Electronic Resource]","DOI":"10.1371/journal.pone.0110268","ISSN":"1932-6203","issue":"10","page":"e110268","title":"The dawn of open access to phylogenetic data","volume":"9","author":[{"literal":"Magee A F"},{"literal":"May M R"},{"literal":"Moore B R"}],"issued":{"date-parts":[["2014"]]}}},{"id":29715,"uris":["http://zotero.org/groups/4983756/items/47F3JQN5"],"itemData":{"id":29715,"type":"article-journal","abstract":"The relationship between clinical research and the pharmaceutical industry has placed clinical trials in jeopardy. According to the medical literature, more than 70% of clinical trials are industry-funded. Many of these trials remain unpublished or have methodological flaws that distort their results. In 2007, it was signed into law the Food and Drug Administration Amendments Act (FDAAA), aiming to provide publicly access to a broad range of biomedical information to be made available on the platform ClinicalTrials (available at https://www.clinicaltrials.gov). We accessed ClinicalTrials.gov and evaluated the compliance of researchers and sponsors with the FDAAA. Our sample comprised 243 protocols of clinical trials of biological monoclonal antibodies (mAb) adalimumab, bevacizumab, infliximab, rituximab, and trastuzumab. We demonstrate that the new legislation has positively affected transparency patterns in clinical research, through a significant increase in publication and online reporting rates after the enactment of the law. Poorly designed trials, however, remain a challenge to be overcome, due to a high prevalence of methodological flaws. These flaws affect the quality of clinical information available, breaching ethical duties of sponsors and researchers, as well as the human right to health.","DOI":"10.7717/peerj.1015","ISSN":"2167-8359","page":"e1015","title":"FDAAA legislation is working, but methodological flaws undermine the reliability of clinical trials: a cross-sectional study","volume":"1","author":[{"literal":"Marin Dos Santos"},{"literal":"D H"},{"literal":"Atallah A N"}],"issued":{"date-parts":[["2015"]]}}},{"id":29799,"uris":["http://zotero.org/groups/4983756/items/7ZRV8896"],"itemData":{"id":29799,"type":"article-journal","abstract":"Background. Trial registration was introduced to reduce research bias by promoting trial transparency and accountability. We aimed to evaluate the frequency of, and factors associated with, trial registration and declaration of trial registration. Methods. We selected all randomized controlled trials in kidney transplantation published between October 2005 and December 2010 and determined whether a trial was registered and whether a trial declared their registration in subsequent trial reports. Results. Of 307 eligible trials identified, 24% (74/307) were registered, and of those, 59% (44/74) contained trial registration details within at least one trial report. Trial registration was more likely for trials published more than once, in later years or reported in journals that followed the International Committee of Medical Journal Editors guidelines. Trial registration was less likely for trials that did not declare their funding sources. Registered trials were more likely to declare registration details in related reports if published in later years or in a journal that followed International Committee of Medical Journal Editors guidelines. Trials that did not declare their funding sources were less likely to declare registration details. Conclusions. Although still suboptimal, the situation is improving over time, with both trial registration and declaration of registration details more likely in later years. © 2011 Lippincott Williams &amp; Wilkins.","container-title":"Transplantation","DOI":"10.1097/tp.0b013e318232baf2","ISSN":"0041-1337","page":"1094-1100","title":"Trial registration and declaration of registration by authors of randomized controlled trials","volume":"92(10)","author":[{"literal":"McGee R G"},{"literal":"Su M"},{"literal":"Kelly P J"},{"literal":"Higgins G Y"},{"literal":"Craig J C"},{"literal":"Webster A C"}],"issued":{"date-parts":[["2011"]]}}},{"id":29785,"uris":["http://zotero.org/groups/4983756/items/2ZCX4YYZ"],"itemData":{"id":29785,"type":"article-journal","abstract":"BACKGROUND: Systematic reviews (SRs) are cornerstones of evidence-based medicine and have contributed significantly to breakthroughs since the 1980's. However, preclinical SRs remain relatively rare despite their many advantages. Since 2011 the Dutch health funding organisation (ZonMw) has run a grant scheme dedicated to promoting the training, coaching and conduct of preclinical SRs. Our study focuses on this funding scheme to investigate the relevance, effects and benefits of conducting preclinical SRs on researchers and their research. METHODS: We recruited researchers who attended funded preclinical SR workshops and who conducted, are still conducting, or prematurely stopped a SR with funded coaching. We gathered data using online questionnaires followed by semi-structured interviews. Both aimed to explore the impact of conducting a SR on researchers' subsequent work, attitudes, and views about their research field. Data-analysis was performed using Excel and ATLAS.ti. RESULTS: Conducting preclinical SRs had two distinct types of impact. First, the researchers acquired new skills and insights, leading to a change in mindset regarding the quality of animal research. This was mainly seen in the way participants planned, conducted and reported their subsequent animal studies, which were more transparent and of a higher quality than their previous work. Second, participants were eager to share their newly acquired knowledge within their laboratories and to advocate for change within their research teams and fields of interest. In particular, they emphasised the need for preclinical SRs and improved experimental design within preclinical research, promoting these through education and published opinion papers. CONCLUSION: Being trained and coached in the conduct of preclinical SRs appears to be a contributing factor to many beneficial changes which will impact the quality of preclinical research in the long-term. Our findings suggest that this ZonMw funding scheme is helpful in improving the quality and transparency of preclinical research. Similar funding schemes should be encouraged, preferably by a broader group of funders or financers, in the future.","container-title":"PLoS ONE [Electronic Resource]","DOI":"10.1371/journal.pone.0260619","ISSN":"1932-6203","issue":"12","page":"e0260619","title":"The impact of conducting preclinical systematic reviews on researchers and their research: A mixed method case study","volume":"16","author":[{"literal":"Menon J M. L"},{"literal":"Ritskes-Hoitinga M"},{"literal":"Pound P"},{"literal":"van Oort E"}],"issued":{"date-parts":[["2021"]]}}},{"id":29668,"uris":["http://zotero.org/groups/4983756/items/YNLBA3NU"],"itemData":{"id":29668,"type":"article-journal","abstract":"A substantial fraction of biomedical research depends on the reliability of human biospecimens but variations in sample manipulation during collection, processing, and storage can differentially alter molecular integrity and influence interpretation of the resulting derived data. Details of biobanking processes are rarely adequately described in research publications, preventing reviewers, readers, and scientists seeking to replicate the findings, from appreciating and adequately considering preanalytical variations contributing to results. To address these shortcomings, a set of reporting guidelines, the Biospecimen Reporting for Improved Study Quality (BRISQ) criteria, were developed in 2011. In this study we evaluated the uptake and reporting of BRISQ criteria in 324 articles across four leading biomedical journals using human biospecimens and published before (161; in 2010) and after (163; in 2014) the delineation of the BRISQ guidelines. We found that even within journals recommending use of BRISQ, manuscript-level uptake. and reporting of the relevant biospecimen information is not widespread or uniform. In the future, an enhanced biospecimen reporting strategy to better serve the needs of researchers, reviewers, and journals may be considered to strengthen research reproducibility for the benefit of the research community at large.","container-title":"Biopreservation and Biobanking","DOI":"10.1089/bio.2018.0143","ISSN":"1947-5543","issue":"4","page":"326-333","title":"Biospecimen Data Reporting in the Research Literature","volume":"17","author":[{"literal":"Meredith A J"},{"literal":"Simeon-Dubach D"},{"literal":"Matzke L A"},{"literal":"Cheah S"},{"literal":"Watson P H"}],"issued":{"date-parts":[["2019"]]}}},{"id":29751,"uris":["http://zotero.org/groups/4983756/items/SV6IE9EP"],"itemData":{"id":29751,"type":"article-journal","abstract":"The achievement of a robust, effective and responsible form of data sharing is currently regarded as a priority for biological and bio-medical research. Empirical evaluations of data sharing may be regarded as an indispensable first step in the identification of critical aspects and the development of strategies aimed at increasing availability of research data for the scientific community as a whole. Research concerning human genetic variation represents a potential forerunner in the establishment of widespread sharing of primary datasets. However, no specific analysis has been conducted to date in order to ascertain whether the sharing of primary datasets is common-practice in this research field. To this aim, we analyzed a total of 543 mitochondrial and Y chromosomal datasets reported in 508 papers indexed in the Pubmed database from 2008 to 2011. A substantial portion of datasets (21.9%) was found to have been withheld, while neither strong editorial policies nor high impact factor proved to be effective in increasing the sharing rate beyond the current figure of 80.5%. Disaggregating datasets for research fields, we could observe a substantially lower sharing in medical than evolutionary and forensic genetics, more evident for whole mtDNA sequences (15.0% vs 99.6%). The low rate of positive responses to e-mail requests sent to corresponding authors of withheld datasets (28.6%) suggests that sharing should be regarded as a prerequisite for final paper acceptance, while making authors deposit their results in open online databases which provide data quality control seems to provide the best-practice standard. Finally, we estimated that 29.8% to 32.9% of total resources are used to generate withheld datasets, implying that an important portion of research funding does not produce shared knowledge. By making the scientific community and the public aware of this important aspect, we may help popularize a more effective culture of data sharing.","issue":"6","page":"e37552","title":"Mine, yours, ours? Sharing data on human genetic variation","volume":"1","author":[{"literal":"Milia N"},{"literal":"Congiu A"},{"literal":"Anagnostou P"},{"literal":"Montinaro F"},{"literal":"Capocasa M"},{"literal":"Sanna E"},{"literal":"Destro Bisol"},{"literal":"G"}],"issued":{"date-parts":[["2012"]]}}},{"id":29688,"uris":["http://zotero.org/groups/4983756/items/9G6ULCKP"],"itemData":{"id":29688,"type":"article-journal","container-title":"JAMA Network Open","DOI":"10.1001/jamanetworkopen.2023.25342","ISSN":"2574-3805","issue":"7","page":"e2325342","title":"Data Sharing for Pediatric Clinical Trials Funded by the US National Institutes of Health","volume":"6","author":[{"literal":"Narang C"},{"literal":"Ouvina M"},{"literal":"Rees C A"},{"literal":"Bourgeois F T"}],"issued":{"date-parts":[["2023"]]}}},{"id":29686,"uris":["http://zotero.org/groups/4983756/items/4P7J7LM9"],"itemData":{"id":29686,"type":"article-journal","abstract":"Objectives To explore the effectiveness of data sharing by randomized controlled trials (RCTs) in journals with a full data sharing policy and to describe potential difficulties encountered in the process of performing reanalyses of the primary outcomes. Design Survey of published RCTs. Setting PubMed/Medline. Eligibility criteria RCTs that had been submitted and published by The BMJ and PLOS Medicine subsequent to the adoption of data sharing policies by these journals. Main outcome measure The primary outcome was data availability, defined as the eventual receipt of complete data with clear labelling. Primary outcomes were reanalyzed to assess to what extent studies were reproduced. Difficulties encountered were described. Results 37 RCTs (21 from The BMJ and 16 from PLOS Medicine) published between 2013 and 2016 met the eligibility criteria. 17/37 (46%, 95% confidence interval 30% to 62%) satisfied the definition of data availability and 14 of the 17 (82%, 59% to 94%) were fully reproduced on all their primary outcomes. Of the remaining RCTs, errors were identified in two but reached similar conclusions and one paper did not provide enough information in the Methods section to reproduce the analyses. Difficulties identified included problems in contacting corresponding authors and lack of resources on their behalf in preparing the datasets. In addition, there was a range of different data sharing practices across study groups. Conclusions Data availability was not optimal in two journals with a strong policy for data sharing. When investigators shared data, most reanalyses largely reproduced the original results. Data sharing practices need to become more widespread and streamlined to allow meaningful reanalyses and reuse of data. Trial registration Open Science Framework osf.io/c4zke. © Published by the BMJ Publishing Group Limited..","container-title":"BMJ (Online)","DOI":"10.1136/bmj.k400","ISSN":"09598146 (ISSN)","page":"k400","title":"Data sharing and reanalysis of randomized controlled trials in leading biomedical journals with a full data sharing policy: Survey of studies published in the BMJ and PLOS Medicine","volume":"360","author":[{"literal":"Naudet F"},{"literal":"Sakarovitch C"},{"literal":"Janiaud P"},{"literal":"Cristea I"},{"literal":"Fanelli D"},{"literal":"Moher D"},{"literal":"Ioannidis J P. A"}],"issued":{"date-parts":[["2018"]]}}},{"id":29672,"uris":["http://zotero.org/groups/4983756/items/J8B7PAMC"],"itemData":{"id":29672,"type":"article-journal","abstract":"Objectives: To examine changes in completeness of reporting and frequency of sharing data, analytical code, and other review materials in systematic reviews over time; and factors associated with these changes. Design: Cross sectional meta-research study. Population: Random sample of 300 systematic reviews with meta-analysis of aggregate data on the effects of a health, social, behavioural, or educational intervention. Reviews were indexed in PubMed, Science Citation Index, Social Sciences Citation Index, Scopus, and Education Collection in November 2020. Main outcome measures: The extent of complete reporting and the frequency of sharing review materials in the systematic reviews indexed in 2020 were compared with 110 systematic reviews indexed in February 2014. Associations between completeness of reporting and various factors (eg, self-reported use of reporting guidelines, journal policies on data sharing) were examined by calculating risk ratios and 95% confidence intervals. Results: Several items were reported suboptimally among 300 systematic reviews from 2020, such as a registration record for the review (n=113; 38%), a full search strategy for at least one database (n=214; 71%), methods used to assess risk of bias (n=185; 62%), methods used to prepare data for meta-analysis (n=101; 34%), and source of funding for the review (n=215; 72%). Only a few items not already reported at a high frequency in 2014 were reported more frequently in 2020. No evidence indicated that reviews using a reporting guideline were more completely reported than reviews not using a guideline. Reviews published in 2020 in journals that mandated either data sharing or inclusion of data availability statements were more likely to share their review materials (eg, data, code files) than reviews in journals without such mandates (16/87 (18%) v 4/213 (2%)). Conclusion: Incomplete reporting of several recommended items for systematic reviews persists, even in reviews that claim to have followed a reporting guideline. Journal policies on data sharing might encourage sharing of review materials. © 2022 Author(s). Published by BMJ.","container-title":"BMJ","DOI":"10.1136/bmj-2022-072428","ISSN":"09598146 (ISSN)","page":"e072428","title":"Changing patterns in reporting and sharing of review data in systematic reviews with meta-analysis of the effects of interventions: Cross sectional meta-research study","author":[{"literal":"Nguyen P Y"},{"literal":"Kanukula R"},{"literal":"McKenzie J E"},{"literal":"Alqaidoom Z"},{"literal":"Brennan S E"},{"literal":"Haddaway N R"},{"literal":"Hamilton D G"},{"literal":"Karunananthan S"},{"literal":"McDonald S"},{"literal":"Moher D"},{"literal":"Nakagawa S"},{"literal":"Nunan D"},{"literal":"Tugwell P"},{"literal":"Welch V A"},{"literal":"Page M J"}],"issued":{"date-parts":[["2022"]]}}},{"id":29741,"uris":["http://zotero.org/groups/4983756/items/RZS8MYZ9"],"itemData":{"id":29741,"type":"article-journal","abstract":"In this paper, we present three retrospective observational studies that investigate the relation between data sharing and statistical reporting inconsistencies. Previous research found that reluctance to share data was related to a higher prevalence of statistical errors, often in the direction of statistical significance (Wicherts, Bakker, &amp; Molenaar, 2011). We therefore hypothesized that journal policies about data sharing and data sharing itself would reduce these inconsistencies. In Study 1, we compared the prevalence of reporting inconsistencies in two similar journals on decision making with different data sharing policies. In Study 2, we compared reporting inconsistencies in psychology articles published in PLOS journals (with a data sharing policy) and Frontiers in Psychology (without a stipulated data sharing policy). In Study 3, we looked at papers published in the journal Psychological Science to check whether papers with or without an Open Practice Badge differed in the prevalence of reporting errors. Overall, we found no relationship between data sharing and reporting inconsistencies. We did find that journal policies on data sharing seem extremely effective in promoting data sharing. We argue that open data is essential in improving the quality of psychological science, and we discuss ways to detect and reduce reporting inconsistencies in the literature. © 2017 The Author(s).","container-title":"Collabra: Psychology","DOI":"10.1525/collabra.102","ISSN":"24747394 (ISSN)","issue":"1","page":"31","title":"Journal data sharing policies and statistical reporting inconsistencies in psychology","volume":"3","author":[{"literal":"Nuijten M B"},{"literal":"Borghuis J"},{"literal":"Veldkamp C L. S"},{"literal":"Dominguez-Alvarez L"},{"literal":"Van Assen M A. L. M"},{"literal":"Wicherts J M"}],"issued":{"date-parts":[["2017"]]}}},{"id":29651,"uris":["http://zotero.org/groups/4983756/items/WAY2NIBF"],"itemData":{"id":29651,"type":"article-journal","abstract":"Ongoing technological developments have made it easier than ever before for scientists to share their data, materials, and analysis code. Sharing data and analysis code makes it easier for other researchers to reuse or check published research. However, these benefits will emerge only if researchers can reproduce the analyses reported in published articles and if data are annotated well enough so that it is clear what all variable and value labels mean. Because most researchers are not trained in computational reproducibility, it is important to evaluate current practices to identify those that can be improved. We examined data and code sharing for Registered Reports published in the psychological literature from 2014 to 2018 and attempted to independently computationally reproduce the main results in each article. Of the 62 articles that met our inclusion criteria, 41 had data available, and 37 had analysis scripts available. Both data and code for 36 of the articles were shared. We could run the scripts for 31 analyses, and we reproduced the main results for 21 articles. Although the percentage of articles for which both data and code were shared (36 out of 62, or 58%) and the percentage of articles for which main results could be computationally reproduced (21 out of 36, or 58%) were relatively high compared with the percentages found in other studies, there is clear room for improvement. We provide practical recommendations based on our observations and cite examples of good research practices in the studies whose main results we reproduced. (PsycInfo Database Record (c) 2022 APA, all rights reserved)","container-title":"Advances in Methods and Practices in Psychological Science","DOI":"10.1177/2515245920918872","ISSN":"2515-2459 2515-2467","issue":"2","page":"229-237","title":"Analysis of open data and computational reproducibility in registered reports in psychology","volume":"3","author":[{"literal":"Obels Pepijn"},{"literal":"Lakens Daniel"},{"literal":"Coles Nicholas A"},{"literal":"Gottfried Jaroslav"},{"literal":"Green Seth A"}],"issued":{"date-parts":[["2020"]]}}},{"id":29739,"uris":["http://zotero.org/groups/4983756/items/8KMMHIEL"],"itemData":{"id":29739,"type":"article-journal","abstract":"BACKGROUND: Randomised controlled trials (RCTs) provide the highest-level of evidence among primary research in cardiovascular medicine. Yet, even the best trial may be less useful if it fails to provide an accurate means of reproducibility. Unfortunately, discrepancies in the standards of trial reporting have been persistent in previous trials. The Template for Intervention Description and Replication (TIDieR) checklist aims to improve research efficacy by setting standards for quality intervention reporting and reproducibility. The goal of this study was to assess adherence to the TIDieR checklist among RCTs published in cardiovascular health journals. We also compared the quality of intervention reporting before and after the publication of TIDieR. METHODS: This cross-sectional, methodological study analysed 101 trials published within high-impact cardiology journals. Our primary objective was to assess overall adherence to the TIDieR checklist. Our secondary objective was to use an interrupted time-series analysis to determine if intervention reporting increased following the publication of TIDieR in March 2014. Additionally, we used generalised estimating equations to identify trial characteristics associated with intervention reporting. RESULTS: Trials in our sample reported 8.6/12 TIDieR checklist items, on average. The most under-reported items were those for describing the expertise of the interventionists and for describing the location of the intervention. CONCLUSION: Improved outcome reporting and intervention reproducibility among RCTs are greatly needed in cardiovascular medicine. Clinicians and researchers should advocate for the ethical publication of complete, translatable and replicable clinical research results.","container-title":"BMJ Evidence-based Medicine","DOI":"10.1136/bmjebm-2019-111309","ISSN":"2515-4478","issue":"3","page":"91-97","title":"Intervention reporting of clinical trials published in high-impact cardiology journals: effect of the TIDieR checklist and guide","volume":"26","author":[{"literal":"Palmer W"},{"literal":"Okonya O"},{"literal":"Jellison S"},{"literal":"Horn J"},{"literal":"Harter Z"},{"literal":"Wilkett M"},{"literal":"Vassar M"}],"issued":{"date-parts":[["2021"]]}}},{"id":29803,"uris":["http://zotero.org/groups/4983756/items/C3CD6Y9N"],"itemData":{"id":29803,"type":"article-journal","abstract":"Many initiatives encourage investigators to share their raw datasets in hopes of increasing research efficiency and quality. Despite these investments of time and money, we do not have a firm grasp of who openly shares raw research data, who doesn't, and which initiatives are correlated with high rates of data sharing. In this analysis I use bibliometric methods to identify patterns in the frequency with which investigators openly archive their raw gene expression microarray datasets after study publication. Automated methods identified 11,603 articles published between 2000 and 2009 that describe the creation of gene expression microarray data. Associated datasets in best-practice repositories were found for 25% of these articles, increasing from less than 5% in 2001 to 30%-35% in 2007-2009. Accounting for sensitivity of the automated methods, approximately 45% of recent gene expression studies made their data publicly available. First-order factor analysis on 124 diverse bibliometric attributes of the data creation articles revealed 15 factors describing authorship, funding, institution, publication, and domain environments. In multivariate regression, authors were most likely to share data if they had prior experience sharing or reusing data, if their study was published in an open access journal or a journal with a relatively strong data sharing policy, or if the study was funded by a large number of NIH grants. Authors of studies on cancer and human subjects were least likely to make their datasets available. These results suggest research data sharing levels are still low and increasing only slowly, and data is least available in areas where it could make the biggest impact. Let's learn from those with high rates of sharing to embrace the full potential of our research output.","container-title":"PLoS ONE [Electronic Resource]","DOI":"10.1371/journal.pone.0018657","ISSN":"1932-6203","issue":"7","page":"e18657","title":"Who shares? Who doesn't? Factors associated with openly archiving raw research data","volume":"6","author":[{"literal":"Piwowar H A"}],"issued":{"date-parts":[["2011"]]}}},{"id":29759,"uris":["http://zotero.org/groups/4983756/items/VKX79A8I"],"itemData":{"id":29759,"type":"article-journal","abstract":"The public sharing of primary research datasets potentially benefits the research community but is not yet common practice. In this pilot study, we analyzed whether data sharing frequency was associated with funder and publisher requirements, journal impact factor, or investigator experience and impact. Across 397 recent biomedical microarray studies, we found investigators were more likely to publicly share their raw dataset when their study was published in a high-impact journal and when the first or last authors had high levels of career experience and impact. We estimate the USA's National Institutes of Health (NIH) data sharing policy applied to 19% of the studies in our cohort; being subject to the NIH data sharing plan requirement was not found to correlate with increased data sharing behavior in multivariate logistic regression analysis. Studies published in journals that required a database submission accession number as a condition of publication were more likely to share their data, but this trend was not statistically significant. These early results will inform our ongoing larger analysis, and hopefully contribute to the development of more effective data sharing initiatives.","container-title":"Journal of Informetrics","ISSN":"1751-1577","issue":"2","page":"148-156","title":"Public sharing of research datasets: a pilot study of associations","volume":"4","author":[{"literal":"Piwowar H A"},{"literal":"Chapman W W"}],"issued":{"date-parts":[["2010"]]}}},{"id":29735,"uris":["http://zotero.org/groups/4983756/items/INLL35UM"],"itemData":{"id":29735,"type":"paper-conference","abstract":"Reproducible research results are among the pillars of sustainable science, and considerable progress has been achieved in this direction recently. However, there is much room for improvement across the research communities. Here we analyze the reproducibility of 108 publications from an interdisciplinary Collaborative Research Center on applied mathematics in various scientific fields. Based on a previous reproducibility study in hydrology, we identify the rate of reproducible scientific results and why reproducibility fails. We identify the main problems that hinder reproducible results and relate them to previous interventions targeting the research culture of reproducible scientific findings. Thus, the success of our measures can be estimated, and specific recommendations for future work can be derived. In our study, the number of publications that allow for at least partly reproducible research results increased over time. However, we see an ongoing need for directives and support in research data management among research communities since issues concerning data accessibility and quality limit the reproducibility of scientific results. We argue that our results are representative of other interdisciplinary research areas. © 2022 Gesellschaft fur Informatik (GI). All rights reserved.","DOI":"10.18420/inf2022_114","ISBN":"16175468 (ISSN); 978-388579720-3 (ISBN)","page":"1341-1352","publisher":"Gesellschaft fur Informatik (GI)","title":"Including Data Management in Research Culture Increases the Reproducibility of Scientific Results","URL":"https://www.scopus.com/inward/record.uri?eid=2-s2.0-85139744413&amp;doi=10.18420%2finf2022_114&amp;partnerID=40&amp;md5=2890832363c9078bfcacea10893943dc","volume":"P-326","author":[{"literal":"Riedel C"},{"literal":"Geßner H"},{"literal":"Seegebrecht A"},{"literal":"Ayon S I"},{"literal":"Chowdhury S H"},{"literal":"Engbert R"},{"literal":"Lucke U"}],"editor":[{"literal":"Demmler D"},{"literal":"Universitat Hamburg"},{"literal":"Vogt-Kolln-Strasse Hamburg"},{"literal":"Krupka D"},{"literal":"Gesellschaft fur Informatik"},{"literal":"Anna-Louisa-Karsch-Strasse Berlin"},{"literal":"Federrath H"},{"literal":"Universitat Hamburg"},{"literal":"Vogt-Kolln-Strasse Hamburg"}],"issued":{"date-parts":[["2022"]]}}},{"id":29698,"uris":["http://zotero.org/groups/4983756/items/7WYJQWKK"],"itemData":{"id":29698,"type":"article-journal","abstract":"Sharing data and code are important components of reproducible research. Data sharing in research is widely discussed in the literature; however, there are no well-established evidence-based incentives that reward data sharing, nor randomized studies that demonstrate the effectiveness of data sharing policies at increasing data sharing. A simple incentive, such as an Open Data Badge, might provide the change needed to increase data sharing in health and medical research. This study was a parallel group randomized controlled trial (protocol registration: doi:10.17605/OSF.IO/PXWZQ) with two groups, control and intervention, with 80 research articles published in BMJ Open per group, with a total of 160 research articles. The intervention group received an email offer for an Open Data Badge if they shared their data along with their final publication and the control group received an email with no offer of a badge if they shared their data with their final publication. The primary outcome was the data sharing rate. Badges did not noticeably motivate researchers who published in BMJ Open to share their data; the odds of awarding badges were nearly equal in the intervention and control groups (odds ratio = 0.9, 95% CI [0.1, 9.0]). Data sharing rates were low in both groups, with just two datasets shared in each of the intervention and control groups. The global movement towards open science has made significant gains with the development of numerous data sharing policies and tools. What remains to be established is an effective incentive that motivates researchers to take up such tools to share their data.","container-title":"Royal Society Open Science","DOI":"10.1098/rsos.191818","ISSN":"2054-5703","issue":"3","page":"191818","title":"Did awarding badges increase data sharing in BMJ Open? A randomized controlled trial","volume":"7","author":[{"literal":"Rowhani-Farid A"},{"literal":"Aldcroft A"},{"literal":"Barnett A G"}],"issued":{"date-parts":[["2020"]]}}},{"id":29719,"uris":["http://zotero.org/groups/4983756/items/7TKX7MPF"],"itemData":{"id":29719,"type":"article-journal","abstract":"OBJECTIVE: To quantify data sharing trends and data sharing policy compliance at the British Medical Journal (BMJ) by analysing the rate of data sharing practices, and investigate attitudes and examine barriers towards data sharing. DESIGN: Observational study. SETTING: The BMJ research archive. PARTICIPANTS: 160 randomly sampled BMJ research articles from 2009 to 2015, excluding meta-analysis and systematic reviews. MAIN OUTCOME MEASURES: Percentages of research articles that indicated the availability of their raw data sets in their data sharing statements, and those that easily made their data sets available on request. RESULTS: 3 articles contained the data in the article. 50 out of 157 (32%) remaining articles indicated the availability of their data sets. 12 used publicly available data and the remaining 38 were sent email requests to access their data sets. Only 1 publicly available data set could be accessed and only 6 out of 38 shared their data via email. So only 7/157 research articles shared their data sets, 4.5% (95% CI 1.8% to 9%). For 21 clinical trials bound by the BMJ data sharing policy, the per cent shared was 24% (8% to 47%). CONCLUSIONS: Despite the BMJ's strong data sharing policy, sharing rates are low. Possible explanations for low data sharing rates could be: the wording of the BMJ data sharing policy, which leaves room for individual interpretation and possible loopholes; that our email requests ended up in researchers spam folders; and that researchers are not rewarded for sharing their data. It might be time for a more effective data sharing policy and better incentives for health and medical researchers to share their data.","container-title":"BMJ Open","DOI":"10.1136/bmjopen-2016-011784","ISSN":"2044-6055","issue":"10","page":"e011784","title":"Has open data arrived at the British Medical Journal (BMJ)? An observational study","volume":"6","author":[{"literal":"Rowhani-Farid A"},{"literal":"Barnett A G"}],"issued":{"date-parts":[["2016"]]}}},{"id":29662,"uris":["http://zotero.org/groups/4983756/items/24EB9KQA"],"itemData":{"id":29662,"type":"article-journal","abstract":"&lt;b&gt;Background&lt;/b&gt;: Reproducible research includes sharing data and code. The reproducibility policy at the journal Biostatistics rewards articles with badges for data and code sharing. This study investigates the effect of badges at increasing reproducible research, specifically, data and code sharing, at Biostatistics. &lt;b&gt;Methods&lt;/b&gt;: The setting of this observational study is the Biostatistics and Statistics in Medicine (control journal) online research archives. The data consisted of 240 randomly sampled articles from 2006 to 2013 (30 articles per year) per journal, a total sample of 480 articles. Data analyses included: plotting probability of data and code sharing by article submission date, and Bayesian logistic regression modelling to test for a difference in the probability of making data and code available after the introduction of badges at Biostatistics. &lt;b&gt;Results&lt;/b&gt;: The probability of data sharing was higher at Biostatistics than the control journal but the probability of code sharing was comparable for both journals. The probability of data sharing increased by 3.5 times (95% credible interval: 1.4 to 7.4 times, p-value probability that sharing increased: 0.996) after badges were introduced at Biostatistics. On an absolute scale, however, this difference was only a 7.3% increase in data sharing (95% CI: 2 to 14%, p-value: 0.996). Badges did not have an impact on code sharing at the journal (mean increase: 1.1 times, 95% credible interval: 0.45 to 2.14 times, p-value probability that sharing increased: 0.549). &lt;b&gt;Conclusions:&lt;/b&gt; The effect of badges at Biostatistics was a 7.3% increase in the data sharing rate, 5 times less than the effect of badges on data sharing at Psychological Science (37.9% badge effect). Though the effect of badges at Biostatistics did not impact code sharing, and was associated with only a moderate effect on data sharing, badges are an interesting step that journals are taking to incentivise and promote reproducible research.","container-title":"F1000Research","DOI":"10.12688/f1000research.13477.2","ISSN":"2046-1402","page":"90","title":"Badges for sharing data and code at Biostatistics: an observational study","volume":"7","author":[{"literal":"Rowhani-Farid A"},{"literal":"Barnett A G"}],"issued":{"date-parts":[["2018"]]}}},{"id":29690,"uris":["http://zotero.org/groups/4983756/items/H65T38N8"],"itemData":{"id":29690,"type":"article-journal","abstract":"BACKGROUND/AIMS: Deidentified individual participant data (IPD) sharing has been implemented in the International Committee of Medical Journal Editors journals since 2017. However, there were some published clinical trials that did not follow the new implemented policy. This study examines the number of clinical trials that endorsed IPD sharing policy among top ophthalmology journals. METHOD: All published original articles in 2021 in 10 highest-ranking ophthalmology journals according to the 2020 journal impact factor were included. Clinical trials were determined by the WHO definition of clinical trials. Each article was then thoroughly searched for the IPD sharing statement either in the manuscript or in the clinical trial registry. We collected the number of published clinical trials that implemented IPD sharing policy as our primary outcome. RESULTS: 1852 published articles in top 10 ophthalmology journals were identified, and 9.45% were clinical trials. Of these clinical trials, 44% had clinical trial registrations and 49.14% declared IPD sharing statements. Only 42 (48.83%) clinical trials were willing to share IPD, and 5 (10.21%) of these share IPD via an online repository platform. In terms of sharing period, 37 clinical trials were willing to share right after the publication and only 2 showed the ending of sharing period. CONCLUSION: This report shows that the number of clinical trials in top ophthalmology journals that endorsed the IPD sharing policy and the number of registrations is lower than half even though the policy has been implemented for several years. Future updates are necessary as policy evolves.","container-title":"BMJ Open Ophthalmology","DOI":"10.1136/bmjophth-2023-001276","ISSN":"2397-3269","issue":"1","page":"07","title":"Data sharing implementation in top 10 ophthalmology journals in 2021","volume":"8","author":[{"literal":"Ruamviboonsuk V"},{"literal":"Thinkhamrop B"},{"literal":"Kulvichit K"},{"literal":"Tulvatana W"}],"issued":{"date-parts":[["2023"]]}}},{"id":29678,"uris":["http://zotero.org/groups/4983756/items/DYARQ4ID"],"itemData":{"id":29678,"type":"article-journal","abstract":"BACKGROUND: We evaluated the completeness of reporting of diagnostic test accuracy (DTA) systematic reviews using the recently developed Preferred Reporting Items for Systematic Reviews and MetaAnalyses (PRISMA)-DTA guidelines. METHODS: MEDLINE&lt;sup&gt; R&lt;/sup&gt; was searched for DTA systematic reviews published October 2017 to January 2018. The search time span was modulated to reach the desired sample size of 100 systematic reviews. Reporting on a per-item basis using PRISMA-DTA was evaluated. RESULTS: One hundred reviews were included. Mean reported items were 18.6 of 26 (71%; SD = 1.9) for PRISMA-DTA and 5.5 of 11 (50%; SD = 1.2) for PRISMA-DTA for abstracts. Items in the results were frequently reported. Items related to protocol registration, characteristics of included studies, results synthesis, and definitions used in data extraction were infrequently reported. Infrequently reported items from PRISMA-DTA for abstracts included funding information, strengths and limitations, characteristics of included studies, and assessment of applicability. Reporting completeness was higher in higher impact factor journals (18.9 vs 18.1 items; P = 0.04), studies that cited PRISMA (18.9 vs 17.7 items; P = 0.003), or used supplementary material (19.1 vs 18.0 items; P = 0.004). Variability in reporting was associated with author country (P = 0.04) but not journal (P = 0.6), abstract word count limitations (P = 0.9), PRISMA adoption (P = 0.2), structured abstracts (P = 0.2), study design (P = 0.8), subspecialty area (P = 0.09), or index test (P = 0.5). Abstracts with a higher word count were more informative (R = 0.4; P &lt; 0.001). No association with word counts was observed for full-text reports (R = -0.03; P = 0.06). CONCLUSIONS: Recently published reports of DTA systematic reviews are not fully informative when evaluated against the PRISMA-DTA guidelines. These results should guide knowledge translation strategies, including journal level (e.g., PRISMA-DTA adoption, increased abstract word count, and use of supplementary material) and author level (PRISMA-DTA citation awareness) strategies.","container-title":"Clinical Chemistry","DOI":"10.1373/clinchem.2018.292987","ISSN":"1530-8561","issue":"2","page":"291-301","title":"Completeness of Reporting of Systematic Reviews of Diagnostic Test Accuracy Based on the PRISMA-DTA Reporting Guideline","volume":"65","author":[{"literal":"Salameh J P"},{"literal":"McInnes M D. F"},{"literal":"Moher D"},{"literal":"Thombs B D"},{"literal":"McGrath T A"},{"literal":"Frank R"},{"literal":"Dehmoobad Sharifabadi"},{"literal":"A"},{"literal":"Kraaijpoel N"},{"literal":"Levis B"},{"literal":"Bossuyt P M"}],"issued":{"date-parts":[["2019"]]}}},{"id":29709,"uris":["http://zotero.org/groups/4983756/items/9IRH7IX5"],"itemData":{"id":29709,"type":"article-journal","abstract":"Background: Many journals now require authors share their data with other investigators, either by depositing the data in a public repository or making it freely available upon request. These policies are explicit, but remain largely untested. We sought to determine how well authors comply with such policies by requesting data from authors who had published in one of two journals with clear data sharing policies. Methods and Findings: We requested data from ten investigators who had published in either PLoS Medicine or PLoS Clinical Trials. All responses were carefully documented. In the event that we were refused data, we reminded authors of the journal's data sharing guidelines. If we did not receive a response to our initial request, a second request was made. Following the ten requests for raw data, three investigators did not respond, four authors responded and refused to share their data, two email addresses were no longer valid, and one author requested further details. A reminder of PLoS's explicit requirement that authors share data did not change the reply from the four authors who initially refused. Only one author sent an original data set. Conclusion(s): We received only one of ten raw data sets requested. This suggests that journal policies requiring data sharing do not lead to authors making their data sets available to independent investigators. © 2009 Savage, Vickers.","container-title":"PLoS ONE","DOI":"10.1371/journal.pone.0007078","ISSN":"1932-6203 (electronic) 1932-6203","page":"e7078","title":"Empirical study of data sharing by authors publishing in PLoS journals","volume":"4(9) (no pagination)","author":[{"literal":"Savage C J"},{"literal":"Vickers A J"}],"issued":{"date-parts":[["2009"]]}}},{"id":29660,"uris":["http://zotero.org/groups/4983756/items/PG9L9B3B"],"itemData":{"id":29660,"type":"article-journal","abstract":"OBJECTIVES: Trial registration has a great potential to increase research transparency and public access to research results. This study examined the availability of results either in journal publications or in the trial registry from all studies registered at ClinicalTrials.gov. METHODS: All 137,612 records from ClinicalTrials.gov in December 2012 were merged with all 19,158 PubMed records containing registration numbers in the indexing field or in the abstracts. A multivariate analysis was conducted to examine the association between the availability of the results with study and participant characteristics available in registration records. RESULTS: Fewer than 10% of the registered studies and 15% of the registered and completed studies had published results. The highest publication rate of 22.4% was for randomized trials completed between 2005 (starting year for structured indexing in PubMed of study registration) and 2010. For 86% of overall and 78% of completed registered studies, no results were available in ClinicalTrials.gov or in journal publications. Studies funded by industry vs. other funding sources and drug studies vs. all studies of other interventions were published less often after adjustment for study type, subject characteristics, or posting of results in ClinicalTrials.gov. CONCLUSION: Existing policy does not ensure availability of results from clinical research. International policy revisions should charge principal investigators with ensuring that the approved protocols and posted data elements are aligned and that results are available from all conducted studies.","container-title":"Journal of Epidemiology and Global Health","DOI":"10.1016/j.jegh.2013.08.002","ISSN":"2210-6014","issue":"1","page":"1-12","title":"Availability of results from clinical research: failing policy efforts","volume":"4","author":[{"literal":"Shamliyan T A"},{"literal":"Kane R L"}],"issued":{"date-parts":[["2014"]]}}},{"id":29795,"uris":["http://zotero.org/groups/4983756/items/64UMKTSE"],"itemData":{"id":29795,"type":"article-journal","abstract":"Untargeted lipidomics allows analysis of a broader range of lipids than targeted methods and permits discovery of unknown compounds. Previous ring trials have evaluated the reproducibility of targeted lipidomics methods, but inter-laboratory comparison of compound identification and unknown feature detection in untargeted lipidomics has not been attempted. To address this gap, five laboratories analyzed a set of mammalian tissue and biofluid reference samples using both their own untargeted lipidomics procedures and a common chromatographic and data analysis method. While both methods yielded informative data, the common method improved chromatographic reproducibility and resulted in detection of more shared features between labs. Spectral search against the LipidBlast in silico library enabled identification of over 2,000 unique lipids. Further examination of LC-MS/MS and ion mobility data, aided by hybrid search and spectral networking analysis, revealed spectral and chromatographic patterns useful for classification of unknown features, a subset of which were highly reproducible between labs. Overall, our method offers enhanced compound identification performance compared to targeted lipidomics, demonstrates the potential of harmonized methods to improve inter-site reproducibility for quantitation and feature alignment, and can serve as a reference to aid future annotation of untargeted lipidomics data.","container-title":"BioRxiv : the Preprint Server for Biology","DOI":"10.1101/2023.02.01.526566","page":"03","title":"The unknown lipids project: harmonized methods improve compound identification and data reproducibility in an inter-laboratory untargeted lipidomics study","volume":"03","author":[{"literal":"Shen T"},{"literal":"Conway C"},{"literal":"Rempfert K R"},{"literal":"Kyle J E"},{"literal":"Colby S M"},{"literal":"Gaul D A"},{"literal":"Habra H"},{"literal":"Kong F"},{"literal":"Bloodsworth K J"},{"literal":"Allen D"},{"literal":"Evans B S"},{"literal":"Du X"},{"literal":"Fernandez F M"},{"literal":"Metz T O"},{"literal":"Fiehn O"},{"literal":"Evans C R"}],"issued":{"date-parts":[["2023"]]}}},{"id":29696,"uris":["http://zotero.org/groups/4983756/items/INTETY6P"],"itemData":{"id":29696,"type":"article-journal","abstract":"OBJECTIVE: To explore the implementation of the International Committee of Medical Journal Editors (ICMJE) data-sharing policy which came into force on 1 July 2018 by ICMJE-member journals and by ICMJE-affiliated journals declaring they follow the ICMJE recommendations. DESIGN: A cross-sectional survey of data-sharing policies in 2018 on journal websites and in data-sharing statements in randomised controlled trials (RCTs). SETTING: ICMJE website; PubMed/Medline. ELIGIBILITY CRITERIA: ICMJE-member journals and 489 ICMJE-affiliated journals that published an RCT in 2018, had an accessible online website and were not considered as predatory journals according to Beall's list. One hundred RCTs for member journals and 100 RCTs for affiliated journals with a data-sharing policy, submitted after 1 July 2018. MAIN OUTCOME MEASURES: The primary outcome for the policies was the existence of a data-sharing policy (explicit data-sharing policy, no data-sharing policy, policy merely referring to ICMJE recommendations) as reported on the journal website, especially in the instructions for authors. For RCTs, our primary outcome was the intention to share individual participant data set out in the data-sharing statement. RESULTS: Eight (out of 14; 57%) member journals had an explicit data-sharing policy on their website (three were more stringent than the ICMJE requirements, one was less demanding and four were compliant), five (35%) additional journals stated that they followed the ICMJE requirements, and one (8%) had no policy online. In RCTs published in these journals, there were data-sharing statements in 98 out of 100, with expressed intention to share individual patient data reaching 77 out of 100 (77%; 95% CI 67% to 85%). One hundred and forty-five (out of 489) ICMJE-affiliated journals (30%; 26% to 34%) had an explicit data-sharing policy on their website (11 were more stringent than the ICMJE requirements, 85 were less demanding and 49 were compliant) and 276 (56%; 52% to 61%) merely referred to the ICMJE requirements. In RCTs published in affiliated journals with an explicit data-sharing policy, data-sharing statements were rare (25%), and expressed intentions to share data were found in 22% (15% to 32%). CONCLUSION: The implementation of ICMJE data-sharing requirements in online journal policies was suboptimal for ICMJE-member journals and poor for ICMJE-affiliated journals. The implementation of the policy was good in member journals and of concern for affiliated journals. We suggest the conduct of continuous audits of medical journal data-sharing policies in the future. REGISTRATION: The protocol was registered before the start of the research on the Open Science Framework (https://osf.io/n6whd/).","container-title":"BMJ Open","DOI":"10.1136/bmjopen-2020-038887","ISSN":"2044-6055","issue":"5","page":"e038887","title":"Data-sharing recommendations in biomedical journals and randomised controlled trials: an audit of journals following the ICMJE recommendations","volume":"10","author":[{"literal":"Siebert M"},{"literal":"Gaba J F"},{"literal":"Caquelin L"},{"literal":"Gouraud H"},{"literal":"Dupuy A"},{"literal":"Moher D"},{"literal":"Naudet F"}],"issued":{"date-parts":[["2020"]]}}},{"id":29797,"uris":["http://zotero.org/groups/4983756/items/AISTSREM"],"itemData":{"id":29797,"type":"article-journal","abstract":"OBJECTIVE: This study investigated the policies of cardiac and cardiovascular system journals concerning clinical trial registration and guideline adoption to understand how frequently journals use these mechanisms to improve transparency, trial reporting and overall study quality. METHODS: We selected the top 20 (by impact factor) journals cited in the subcategory 'Cardiac and Cardiovascular Systems' of the Expanded Science Citation Index of the 2014 Journal Citation Reports to extract journal policies concerning the 17 guidelines we identified. In addition, trial and systematic review registration adherence statements were extracted. 300 randomised controlled trials published in 2016 in the top 20 journals were searched for clinical trial registry numbers and CONSORT diagrams. RESULTS: Of the 19 cardiac and cardiovascular system journals included in our analysis, eight journals (42%) did not require or recommend trial or review registration. Seven (37%) did not recommend or require a single guideline within their instructions to authors. Consolidated Standards for Reporting Trials guidelines (10/19, 53%) were recommended or required most often. Of the trials surveyed, 122/285 (42.8%) published a CONSORT diagram in their manuscript, while 236/292 (80.8%) published a trial registry number. DISCUSSION: Cardiac and cardiovascular system journals infrequently require, recommend or enforce the use of reporting guidelines. Furthermore, too few require or enforce the use of clinical trial registration. Cardiology journal editors should consider guideline adoption due to their potential to limit bias and increase transparency.","container-title":"Heart","DOI":"10.1136/heartjnl-2017-312165","ISSN":"1468-201X","issue":"9","page":"753-759","title":"Trial registration and adherence to reporting guidelines in cardiovascular journals","volume":"104","author":[{"literal":"Sims M T"},{"literal":"Bowers A M"},{"literal":"Fernan J M"},{"literal":"Dormire K D"},{"literal":"Herrington J M"},{"literal":"Vassar M"}],"issued":{"date-parts":[["2018"]]}}},{"id":29773,"uris":["http://zotero.org/groups/4983756/items/H8BX6PLY"],"itemData":{"id":29773,"type":"article-journal","abstract":"INTRODUCTION: With the intent of improving transparency in clinical research, the International Committee of Medical Journal Editors (ICMJE) established guidelines in 2005 regarding prospective clinical trial registration. This action worked to address bias related to selective outcome reporting in the medical literature. The objective of this study was to assess and characterize the quality of registration of clinical trials appearing in shoulder arthroplasty-related medical journals. METHODS: All randomized trials involving human subjects, pertaining to shoulder arthroplasty, published between July 1, 2005 and December 31, 2015, and indexed in either PubMed or SportDISCUS were analyzed. We assessed the prevalence of registration, the timing of registration relative to patient enrollment periods, and the variable rates of orthopedic journal compliance with ICMJE and Food and Drug Administration clinical registration standards for our study. RESULTS: Of the 382 articles identified, 345 (90.3%) were excluded due to failure to meet inclusion criteria. From the remaining 37, only 12 (32.4%) studies were found to be registered in a trial registry. Ten (10/12, 83.3%) of these provided their registration information within the body of the article. None of the included studies from ICMJE-recognized journals were registered. From 34 included studies from non-ICMJE recognized journals, 12 (35.3%) were registered. CONCLUSION: The level of compliance with clinical trial registration guidelines in the decade since their release among shoulder arthroplasty trials in orthopedic journals is poor. Given the importance of the issue, the prevalence of the problem, and the fact that many other medical specialties have already made efforts to improve ICMJE compliance, further work on the part of orthopedic surgery journal authors and editors is needed to ensure the publication of unbiased results. Trial registration: Umin000022487.","container-title":"PLoS ONE [Electronic Resource]","DOI":"10.1371/journal.pone.0164984","ISSN":"1932-6203","issue":"10","page":"e0164984","title":"Shoulder Arthroplasty Trials Are Infrequently Registered: A Systematic Review of Trials","volume":"11","author":[{"literal":"Sims M T"},{"literal":"Sanchez Z C"},{"literal":"Herrington J M"},{"literal":"Hensel J B"},{"literal":"Henning N M"},{"literal":"Scheckel C J"},{"literal":"Vassar M"}],"issued":{"date-parts":[["2016"]]}}},{"id":29635,"uris":["http://zotero.org/groups/4983756/items/S8539RFP"],"itemData":{"id":29635,"type":"article-journal","abstract":"BACKGROUND: Sharing health data is challenging because of several technical, ethical, and regulatory issues. The Findable, Accessible, Interoperable, and Reusable (FAIR) guiding principles have been conceptualized to enable data interoperability. Many studies provide implementation guidelines, assessment metrics, and software to achieve FAIR-compliant data, especially for health data sets. Health Level 7 (HL7) Fast Healthcare Interoperability Resources (FHIR) is a health data content modeling and exchange standard. OBJECTIVE: Our goal was to devise a new methodology to extract, transform, and load existing health data sets into HL7 FHIR repositories in line with FAIR principles, develop a Data Curation Tool to implement the methodology, and evaluate it on health data sets from 2 different but complementary institutions. We aimed to increase the level of compliance with FAIR principles of existing health data sets through standardization and facilitate health data sharing by eliminating the associated technical barriers. METHODS: Our approach automatically processes the capabilities of a given FHIR end point and directs the user while configuring mappings according to the rules enforced by FHIR profile definitions. Code system mappings can be configured for terminology translations through automatic use of FHIR resources. The validity of the created FHIR resources can be automatically checked, and the software does not allow invalid resources to be persisted. At each stage of our data transformation methodology, we used particular FHIR-based techniques so that the resulting data set could be evaluated as FAIR. We performed a data-centric evaluation of our methodology on health data sets from 2 different institutions. RESULTS: Through an intuitive graphical user interface, users are prompted to configure the mappings into FHIR resource types with respect to the restrictions of selected profiles. Once the mappings are developed, our approach can syntactically and semantically transform existing health data sets into HL7 FHIR without loss of data utility according to our privacy-concerned criteria. In addition to the mapped resource types, behind the scenes, we create additional FHIR resources to satisfy several FAIR criteria. According to the data maturity indicators and evaluation methods of the FAIR Data Maturity Model, we achieved the maximum level (level 5) for being Findable, Accessible, and Interoperable and level 3 for being Reusable. CONCLUSIONS: We developed and extensively evaluated our data transformation approach to unlock the value of existing health data residing in disparate data silos to make them available for sharing according to the FAIR principles. We showed that our method can successfully transform existing health data sets into HL7 FHIR without loss of data utility, and the result is FAIR in terms of the FAIR Data Maturity Model. We support institutional migration to HL7 FHIR, which not only leads to FAIR data sharing but also eases the integration with different research networks.","container-title":"Journal of Medical Internet Research","DOI":"10.2196/42822","ISSN":"1438-8871","page":"e42822","title":"A Data Transformation Methodology to Create Findable, Accessible, Interoperable, and Reusable Health Data: Software Design, Development, and Evaluation Study","volume":"25","author":[{"literal":"Sinaci A A"},{"literal":"Gencturk M"},{"literal":"Teoman H A"},{"literal":"Laleci Erturkmen"},{"literal":"G B"},{"literal":"Alvarez-Romero C"},{"literal":"Martinez-Garcia A"},{"literal":"Poblador-Plou B"},{"literal":"Carmona-Pirez J"},{"literal":"Lobe M"},{"literal":"Parra-Calderon C L"}],"issued":{"date-parts":[["2023"]]}}},{"id":29737,"uris":["http://zotero.org/groups/4983756/items/T4QCFG4S"],"itemData":{"id":29737,"type":"article-journal","abstract":"In registered reports (RRs), initial peer review and in-principle acceptance occur before knowing the research outcomes. This combats publication bias and distinguishes planned from unplanned research. How RRs could improve the credibility of research findings is straightforward, but there is little empirical evidence. Also, there could be unintended costs such as reducing novelty. Here, 353 researchers peer reviewed a pair of papers from 29 published RRs from psychology and neuroscience and 57 non-RR comparison papers. RRs numerically outperformed comparison papers on all 19 criteria (mean difference 0.46, scale range -4 to +4) with effects ranging from RRs being statistically indistinguishable from comparison papers in novelty (0.13, 95% credible interval [-0.24, 0.49]) and creativity (0.22, [-0.14, 0.58]) to sizeable improvements in rigour of methodology (0.99, [0.62, 1.35]) and analysis (0.97, [0.60, 1.34]) and overall paper quality (0.66, [0.30, 1.02]). RRs could improve research quality while reducing publication bias and ultimately improve the credibility of the published literature.","container-title":"Nature Human Behaviour","DOI":"10.1038/s41562-021-01142-4","ISSN":"2397-3374","issue":"8","page":"990-997","title":"Initial evidence of research quality of registered reports compared with the standard publishing model","volume":"5","author":[{"literal":"Soderberg C K"},{"literal":"Errington T M"},{"literal":"Schiavone S R"},{"literal":"Bottesini J"},{"literal":"Thorn F S"},{"literal":"Vazire S"},{"literal":"Esterling K M"},{"literal":"Nosek B A"}],"issued":{"date-parts":[["2021"]]}}},{"id":29765,"uris":["http://zotero.org/groups/4983756/items/S4XWHTJX"],"itemData":{"id":29765,"type":"article-journal","abstract":"Importance: Numerous studies have shown that adherence to reporting guidelines is suboptimal. Objective: To evaluate whether asking peer reviewers to check if specific reporting guideline items were adequately reported would improve adherence to reporting guidelines in published articles. Design, Setting, and Participants: Two parallel-group, superiority randomized trials were performed using manuscripts submitted to 7 biomedical journals (5 from the BMJ Publishing Group and 2 from the Public Library of Science) as the unit of randomization, with peer reviewers allocated to the intervention or control group. Interventions: The first trial (CONSORT-PR) focused on manuscripts that presented randomized clinical trial (RCT) results and reported following the Consolidated Standards of Reporting Trials (CONSORT) guideline, and the second trial (SPIRIT-PR) focused on manuscripts that presented RCT protocols and reported following the Standard Protocol Items: Recommendations for Interventional Trials (SPIRIT) guideline. The CONSORT-PR trial included manuscripts that described RCT primary results (submitted July 2019 to July 2021). The SPIRIT-PR trial included manuscripts that contained RCT protocols (submitted June 2020 to May 2021). Manuscripts in both trials were randomized (1:1) to the intervention or control group; the control group received usual journal practice. In the intervention group of both trials, peer reviewers received an email from the journal that asked them to check whether the 10 most important and poorly reported CONSORT (for CONSORT-PR) or SPIRIT (for SPIRIT-PR) items were adequately reported in the manuscript. Peer reviewers and authors were not informed of the purpose of the study, and outcome assessors were blinded. Main Outcomes and Measures: The difference in the mean proportion of adequately reported 10 CONSORT or SPIRIT items between the intervention and control groups in published articles. Results: In the CONSORT-PR trial, 510 manuscripts were randomized. Of those, 243 were published (122 in the intervention group and 121 in the control group). A mean proportion of 69.3% (95% CI, 66.0%-72.7%) of the 10 CONSORT items were adequately reported in the intervention group and 66.6% (95% CI, 62.5%-70.7%) in the control group (mean difference, 2.7%; 95% CI, -2.6% to 8.0%). In the SPIRIT-PR trial, of the 244 randomized manuscripts, 178 were published (90 in the intervention group and 88 in the control group). A mean proportion of 46.1% (95% CI, 41.8%-50.4%) of the 10 SPIRIT items were adequately reported in the intervention group and 45.6% (95% CI, 41.7% to 49.4%) in the control group (mean difference, 0.5%; 95% CI, -5.2% to 6.3%). Conclusions and Relevance: These 2 randomized trials found that it was not useful to implement the tested intervention to increase reporting completeness in published articles. Other interventions should be assessed and considered in the future. Trial Registration: ClinicalTrials.gov Identifiers: NCT05820971 (CONSORT-PR) and NCT05820984 (SPIRIT-PR).","container-title":"JAMA Network Open","DOI":"10.1001/jamanetworkopen.2023.17651","ISSN":"2574-3805","issue":"6","page":"e2317651","title":"Reminding Peer Reviewers of Reporting Guideline Items to Improve Completeness in Published Articles: Primary Results of 2 Randomized Trials","volume":"6","author":[{"literal":"Speich B"},{"literal":"Mann E"},{"literal":"Schonenberger C M"},{"literal":"Mellor K"},{"literal":"Griessbach A N"},{"literal":"Dhiman P"},{"literal":"Gandhi P"},{"literal":"Lohner S"},{"literal":"Agarwal A"},{"literal":"Odutayo A"},{"literal":"Puebla I"},{"literal":"Clark A"},{"literal":"Chan A W"},{"literal":"Schlussel M M"},{"literal":"Ravaud P"},{"literal":"Moher D"},{"literal":"Briel M"},{"literal":"Boutron I"},{"literal":"Schroter S"},{"literal":"Hopewell S"}],"issued":{"date-parts":[["2023"]]}}},{"id":29717,"uris":["http://zotero.org/groups/4983756/items/H39E3DNR"],"itemData":{"id":29717,"type":"article-journal","abstract":"Background: Th EQUATOR Network improves the quality and transparency in health research, primarily by promoting awareness and use of reporting guidelines. In 2018, the UK EQUATOR Centre launched GoodReports.org, a website that helps authors find and use reporting guidelines. This paper describes the tool’s development so far. We describe user experience and behaviour of using GoodReports.org both inside and outside a journal manuscript submission process. We intend to use our findings to inform future development and testing of the tool. Methods: We conducted a survey to collect data on user experience of the GoodReports website. We cross-checked a random sample of 100 manuscripts submitted to a partner journal to describe the level of agreement between the tool’s checklist recommendation and what we would have recommended. We compared the proportion of authors submitting a completed reporting checklist alongside their manuscripts between groups exposed or not exposed to the GoodReports tool. We also conducted a study comparing completeness of reporting of manuscript text before an author received a reporting guideline recommendation from GoodReports.org with the completeness of the text subsequently submitted to a partner journal. Results: Seventy percent (423/599) of survey respondents rated GoodReports 8 or more out of 10 for usefulness, and 74% (198/267) said they had made changes to their manuscript after using the website. We agreed with the GoodReports reporting guideline recommendation in 84% (72/86) of cases. Of authors who completed the guideline finder questionnaire, 14% (10/69) failed to submit a completed checklist compared to 30% (41/136) who did not use the tool. Of the 69 authors who received a GoodReports reporting guideline recommendation, 20 manuscript pairs could be reviewed before and after use of GoodReports. Five included more information in their methods section after exposure to GoodReports. On average, authors reported 57% of necessary reporting items before completing a checklist on GoodReports.org and 60% after. Conclusion: The data suggest that reporting guidance is needed early in the writing process, not at submission stage. We are developing GoodReports by adding more reporting guidelines and by creating editable article templates. We will test whether GoodReports users write more complete study reports in a randomised trial targeting researchers starting to write health research articles. © 2021, The Author(s).","container-title":"BMC Medical Research Methodology","DOI":"10.1186/s12874-021-01402-x","ISSN":"14712288 (ISSN)","issue":"1","page":"217","title":"GoodReports: developing a website to help health researchers find and use reporting guidelines","volume":"21","author":[{"literal":"Struthers C"},{"literal":"Harwood J"},{"literal":"de Beyer J A"},{"literal":"Dhiman P"},{"literal":"Logullo P"},{"literal":"Schlüssel M"}],"issued":{"date-parts":[["2021"]]}}},{"id":29700,"uris":["http://zotero.org/groups/4983756/items/DPMTCKA4"],"itemData":{"id":29700,"type":"article-journal","abstract":"Purpose: Data sharing is widely thought to help research quality and efficiency. Data sharing mandates are increasingly being adopted by journals and the purpose of this paper is to assess whether they work. Design/methodology/approach: This study examines two evolutionary biology journals, Evolution and Heredity, that have data sharing mandates and make extensive use of Dryad. It uses a quantitative analysis of presence in Dryad, downloads and citations. Findings: Within both journals, data sharing seems to be complete, showing that the mandates work on a technical level. Low correlations (0.15-0.18) between data downloads and article citation counts for articles published in 2012 within these journals indicate a weak relationship between data sharing and research impact. An average of 40-55 data downloads per article after a few years suggests that some use is found for shared life sciences data. Research limitations/implications: The value of shared data uses is unclear. Practical implications: Data sharing mandates should be encouraged as an effective strategy. Originality/value: This is the first analysis of the effectiveness of data sharing mandates. © 2017, © Emerald Publishing Limited.","container-title":"Aslib Journal of Information Management","DOI":"10.1108/ajim-09-2016-0159","ISSN":"20503806 (ISSN)","issue":"1","page":"36-45","title":"Do journal data sharing mandates work? Life sciences evidence from Dryad","volume":"69","author":[{"literal":"Thelwall M"},{"literal":"Kousha K"}],"issued":{"date-parts":[["2017"]]}}},{"id":29775,"uris":["http://zotero.org/groups/4983756/items/9GZ7HXIR"],"itemData":{"id":29775,"type":"article-journal","abstract":"Study preregistration promotes transparency in scientific research by making a clear distinction between a priori and post hoc procedures or analyses. Management and applied psychology have not embraced preregistration in the way other closely related social science fields have. There may be concerns that preregistration does not add value and prevents exploratory data analyses. Using a mixed-method approach, in Study 1, we compared published preregistered samples against published non-preregistered samples. We found that preregistration effectively facilitated more transparent reporting based on criteria (i.e., confirmed hypotheses and a priori analysis plans). Moreover, consistent with concerns that the published literature contains elevated type I error rates, preregistered samples had fewer statistically significant results (48%) than non-preregistered samples (66%). To learn about the perceived advantages, disadvantages, and misconceptions of study preregistration, in Study 2, we surveyed authors of preregistered studies and authors who had never preregistered a study. Participants in both samples had positive inclinations towards preregistration yet expressed concerns about the process. We conclude with a review of best practices for management and applied psychology stakeholders. © 2020, Springer Science+Business Media, LLC, part of Springer Nature.","container-title":"Journal of Business and Psychology","DOI":"10.1007/s10869-020-09695-3","ISSN":"08893268 (ISSN)","issue":"4","page":"553-571","title":"Study Preregistration: An Evaluation of a Method for Transparent Reporting","volume":"36","author":[{"literal":"Toth A A"},{"literal":"Banks G C"},{"literal":"Mellor D"},{"literal":"O’Boyle E H"},{"literal":"Dickson A"},{"literal":"Davis D J"},{"literal":"DeHaven A"},{"literal":"Bochantin J"},{"literal":"Borns J"}],"issued":{"date-parts":[["2021"]]}}},{"id":29637,"uris":["http://zotero.org/groups/4983756/items/CT7M4MQP"],"itemData":{"id":29637,"type":"article-journal","abstract":"This article presents a study on the quality and execution of research code from publicly-available replication datasets at the Harvard Dataverse repository. Research code is typically created by a group of scientists and published together with academic papers to facilitate research transparency and reproducibility. For this study, we define ten questions to address aspects impacting research reproducibility and reuse. First, we retrieve and analyze more than 2000 replication datasets with over 9000 unique R files published from 2010 to 2020. Second, we execute the code in a clean runtime environment to assess its ease of reuse. Common coding errors were identified, and some of them were solved with automatic code cleaning to aid code execution. We find that 74% of R files failed to complete without error in the initial execution, while 56% failed when code cleaning was applied, showing that many errors can be prevented with good coding practices. We also analyze the replication datasets from journals' collections and discuss the impact of the journal policy strictness on the code re-execution rate. Finally, based on our results, we propose a set of recommendations for code dissemination aimed at researchers, journals, and repositories.","container-title":"Scientific Data","DOI":"10.1038/s41597-022-01143-6","ISSN":"2052-4463","issue":"1","page":"60","title":"A large-scale study on research code quality and execution","volume":"9","author":[{"literal":"Trisovic A"},{"literal":"Lau M K"},{"literal":"Pasquier T"},{"literal":"Crosas M"}],"issued":{"date-parts":[["2022"]]}}},{"id":29791,"uris":["http://zotero.org/groups/4983756/items/QW55MMA5"],"itemData":{"id":29791,"type":"article-journal","abstract":"Background: With the exponential growth of published systematic reviews (SR), there is a high potential for overlapping and redundant duplication of work. Prospective protocol registration gives the opportunity to assess the added value of a new study or review, thereby potentially reducing research waste and simultaneously increasing transparency and research quality. The PROSPERO database for SR protocol registration was launched 10 years ago. This study aims to assess the proportion SRs of intervention studies with a protocol registration (or publication) and explore associations of SR characteristics with protocol registration status. Methods: PubMed was searched for SRs of human intervention studies published in January 2020 and January 2021. After random-stratified sampling and eligibility screening, data extraction on publication and journal characteristics, and protocol registration status, was performed. Both descriptive and multivariable comparative statistical analyses were performed. Results: A total of 357 SRs (2020: n = 163; 2021: n = 194) were included from a random sample of 1267 publications. Of the published SRs, 38% had a protocol. SRs that reported using PRISMA as a reporting guideline had higher odds of having a protocol than publications that did not report PRISMA (OR 2.71; 95% CI: 1.21 to 6.09). SRs with a higher journal impact factor had higher odds of having a protocol (OR 1.12; 95% CI 1.04 to 1.25). Publications from Asia had a lower odds of having a protocol (OR 0.43; 95% CI 0.23 to 0.80, reference category = Europe). Of the 33 SRs published in journals that endorse PROSPERO, 45% did not have a protocol. Most SR protocols were registered in PROSPERO (n = 129; 96%). Conclusions: We found that 38% of recently published SRs of interventions reported a registered or published protocol. Protocol registration was significantly associated with a higher impact factor of the journal publishing the SR and a more frequent self-reported use of the PRISMA guidelines. In some parts of the world, SR protocols are more often registered or published than others. To guide strategies to increase the uptake of SR protocol registration, further research is needed to gain understanding of the benefits and informativeness of SRs protocols among different stakeholders. Systematic review registration: osf.io/9kj7r/ © 2022, The Author(s).","container-title":"Systematic Reviews","DOI":"10.1186/s13643-022-02053-9","ISSN":"20464053 (ISSN)","issue":"1","page":"191","title":"The score after 10 years of registration of systematic review protocols","volume":"11","author":[{"literal":"van der Braak K"},{"literal":"Ghannad M"},{"literal":"Orelio C"},{"literal":"Heus P"},{"literal":"Damen J A. A"},{"literal":"Spijker R"},{"literal":"Robinson K"},{"literal":"Lund H"},{"literal":"Hooft L"}],"issued":{"date-parts":[["2022"]]}}},{"id":29656,"uris":["http://zotero.org/groups/4983756/items/LETLXS37"],"itemData":{"id":29656,"type":"article-journal","abstract":"Background/purpose: Properly designed randomized controlled trials (RCTs) are the gold standard in patient-centered clinical research. Incomplete intervention reporting affects the readers' ability to evaluate treatment efficacy. Previous studies show that detailed descriptions of trial interventions remains insufficient for reliable replication. Understanding reporting areas in need of improvement can improve the quality of intervention reporting. Methods: This cross-sectional review uses the Template for Intervention Description and Replication (TIDieR) checklist to evaluate the quality of intervention reporting in RCTs. The primary outcome was to investigate the completeness of intervention reporting of RCTs reporting outcomes for patients with alcohol use disorder (AUD) published in highly ranked addiction journals. The secondary outcomes were to: 1) evaluate whether publication of the TIDieR checklist resulted in better intervention reporting practices and 2) determine whether particular trial characteristics were associated with the completeness of intervention reporting. Results: The final analysis included 56 records. The mean number of reported TIDieR items was 5.1 (SD = 1.47) of a possible 12. TIDieR checklist publication did not increase the average completion of the TIDieR checklist items (p = 0.76). Improved TIDieR adherence was associated with trials with double blinding, non-drug interventions, and CONSORT endorsement. Discussion/conclusions: We found the reporting of interventions to be inadequate in our sample of AUD-related RCTs. Fundamental details were often not reported, hampering both clinical and research reproducibility. Moving forward, it may be necessary to consider additional mechanisms to either improve TIDieR uptake or to find other solutions to improve intervention reporting. © 2019 Elsevier B.V.","container-title":"Drug and Alcohol Dependence","DOI":"10.1016/j.drugalcdep.2019.107824","ISSN":"03768716 (ISSN)","page":"107824","title":"Assessment of the completeness of intervention reporting of randomized clinical trials for alcohol use disorders: Effect of the TIDieR checklist and guide","volume":"208","author":[{"literal":"Vassar M"},{"literal":"Pollard J"},{"literal":"Rorah D"},{"literal":"Jellison S"},{"literal":"Harter Z J"},{"literal":"Brasseux S"}],"issued":{"date-parts":[["2020"]]}}},{"id":29702,"uris":["http://zotero.org/groups/4983756/items/Z25DX3F6"],"itemData":{"id":29702,"type":"article-journal","abstract":"BACKGROUND: The Preferred Reporting Items for Systematic Reviews and Meta-Analyses (PRISMA) extension statement for network meta-analysis (NMA) published in 2015 promotes comprehensive reporting in published systematic reviews with NMA. PRISMA-NMA includes 32 items: 27 core items as indicated in the 2009 PRISMA Statement and five items specific to the reporting of NMAs. Although NMA reporting is improving, it is unclear whether PRISMA-NMA has accelerated this improvement. We aimed to investigate the impact of PRISMA-NMA and highlight key items that require attention and improvement. METHODS: We updated our previous collection of NMAs with articles published between April 2015 and July 2018. We assessed the completeness of reporting for each NMA, including main manuscript and online supplements, using the PRISMA-NMA checklist. The PRISMA-NMA checklist originally includes 32 total items (i.e. a 32-point scale original PRISMA-NMA score). We also prepared a modified version of the PRISMA-NMA checklist with 49 items to evaluate separately at a more granular level all multiple-content items (i.e. a 49-point scale modified PRISMA-NMA score). We compared average reporting scores of articles published until and after 2015. RESULTS: In the 1144 included NMAs the mean modified PRISMA-NMA score was 32.1 (95% CI 31.8-32.4) of a possible 49-excellence-score. For 1-year increase, the mean modified score increased by 0.96 (95% CI 0.32 to 1.59) for 389 NMAs published until 2015 and by 0.53 (95% CI 0.02 to 1.04) for 755 NMAs published after 2015. The mean modified PRISMA-NMA score for NMAs published after 2015 was higher by 0.81 (95% CI 0.23 to 1.39) compared to before 2015 when adjusting for journal impact factor, type of review, funding, and treatment category. Description of summary effect sizes to be used, presentation of individual study data, sources of funding for the systematic review, and role of funders dropped in frequency after 2015 by 6-16%. CONCLUSIONS: NMAs published after 2015 more frequently reported the five items associated with NMA compared to those published until 2015. However, improvement in reporting after 2015 is compatible with that observed on a yearly basis until 2015, and hence, it could not be attributed solely to the publication of the PRISMA-NMA.","container-title":"Systematic Reviews","DOI":"10.1186/s13643-021-01780-9","ISSN":"2046-4053","issue":"1","page":"246","title":"Do reporting guidelines have an impact? Empirical assessment of changes in reporting before and after the PRISMA extension statement for network meta-analysis","volume":"10","author":[{"literal":"Veroniki A A"},{"literal":"Tsokani S"},{"literal":"Zevgiti S"},{"literal":"Pagkalidou I"},{"literal":"Kontouli K M"},{"literal":"Ambarcioglu P"},{"literal":"Pandis N"},{"literal":"Lunny C"},{"literal":"Nikolakopoulou A"},{"literal":"Papakonstantinou T"},{"literal":"Chaimani A"},{"literal":"Straus S E"},{"literal":"Hutton B"},{"literal":"Tricco A C"},{"literal":"Mavridis D"},{"literal":"Salanti G"}],"issued":{"date-parts":[["2021"]]}}},{"id":29645,"uris":["http://zotero.org/groups/4983756/items/C83PHRTE"],"itemData":{"id":29645,"type":"article-journal","abstract":"Qualitative research plays an important role in helping us describe, interpret and generate theories about complex phenomena in healthcare. Complete and transparent reporting of research informs readers about the significance and rigor of the work. The aim of this scientometric study was to determine the quality of reporting of qualitative research in nursing social science. Studies were identified by manually searching the table of contents for qualitative papers published in the June (or closest subsequent) 2018 issue of 115 nursing journals. Adherence with the 32-item Consolidated Criteria for REporting Qualitative (COREQ) research was determined for each study by two researchers. Additional information about the study (e.g., sample size, field of nursing) and the publishing journal (e.g., endorsement of COREQ) were also extracted. Using established criteria, COREQ compliance was coded either good (≥ 25 items), moderate (17 to 24), poor (9 to 16), very poor (≤ 8) based on the number of items addressed in each study. One hundred and ninety-seven manuscripts were included. The quality of reporting was generally rated as either moderate (57%) or poor (38%). Journal endorsement of qualitative reporting guidelines was associated with better reporting. The reporting of qualitative research in nursing social science journals is suboptimal. Researchers, authors, reviewers and journal editors need to ensure their papers comprehensively address the requirements of COREQ to ensure comprehensive and transparent reporting of their research. © The Author(s) 2020.","container-title":"International Journal of Qualitative Methods","DOI":"10.1177/1609406920982145","ISSN":"16094069 (ISSN)","title":"Adherence to COREQ Reporting Guidelines for Qualitative Research: A Scientometric Study in Nursing Social Science","URL":"https://www.scopus.com/inward/record.uri?eid=2-s2.0-85098325783&amp;doi=10.1177%2f1609406920982145&amp;partnerID=40&amp;md5=6ea44ed7c5f5e7e50766ec1b3c2642c6","volume":"19","author":[{"literal":"Walsh S"},{"literal":"Jones M"},{"literal":"Bressington D"},{"literal":"McKenna L"},{"literal":"Brown E"},{"literal":"Terhaag S"},{"literal":"Shrestha M"},{"literal":"Al-Ghareeb A"},{"literal":"Gray R"}],"issued":{"date-parts":[["2020"]]}}},{"id":29694,"uris":["http://zotero.org/groups/4983756/items/Y2B35EF6"],"itemData":{"id":29694,"type":"article-journal","abstract":"BACKGROUND: Public sharing of scientific data has assumed greater importance in the omics era. Transparency is necessary for confirmation and validation, and multiple examiners aid in extracting maximal value from large data sets. Accordingly, database submission and provision of the Minimum Information About a Microarray Experiment (MIAME)3 are required by most journals as a prerequisite for review or acceptance. METHOD(S): In this study, the level of data submission and MIAME compliance was reviewed for 127 articles that included microarray-based microRNA (miRNA) profiling and were published from July 2011 through April 2012 in the journals that published the largest number of such articles-PLOS ONE, the Journal of Biological Chemistry, Blood, and Oncogene-along with articles from 9 other journals, including Clinical Chemistry, that published smaller numbers of array-based articles. RESULT(S): Overall, data submission was reported at publication for &lt;40% of all articles, and almost 75% of articles were MIAME noncompliant. On average, articles that included full data submission scored significantly higher on a quality metric than articles with limited or no data submission, and studies with adequate description of methods disproportionately included larger numbers of experimental repeats. Finally, for several articles that were not MIAME compliant, data reanalysis revealed less than complete support for the published conclusions, in 1 case leading to retraction. CONCLUSION(S): These findings buttress the hypothesis that reluctance to share data is associated with low study quality and suggest that most miRNA array investigations are underpowered and/or potentially compromised by a lack of appropriate reporting and data submission. © 2012 American Association for Clinical Chemistry.","container-title":"Clinical Chemistry","DOI":"10.1373/clinchem.2012.193813","ISSN":"0009-9147 1530-8561","page":"392-400","title":"Data submission and quality in microarray-based MicroRNA profiling","volume":"59(2)","author":[{"literal":"Witwer K W"}],"issued":{"date-parts":[["2013"]]}},"label":"page"}],"schema":"https://github.com/citation-style-language/schema/raw/master/csl-citation.json"} </w:instrText>
      </w:r>
      <w:r w:rsidR="4E1D31D2" w:rsidRPr="008C17AC">
        <w:rPr>
          <w:rFonts w:ascii="Times New Roman" w:eastAsia="Times New Roman" w:hAnsi="Times New Roman" w:cs="Times New Roman"/>
        </w:rPr>
        <w:fldChar w:fldCharType="separate"/>
      </w:r>
      <w:r w:rsidR="4041567F" w:rsidRPr="008C17AC">
        <w:rPr>
          <w:rFonts w:ascii="Times New Roman" w:hAnsi="Times New Roman" w:cs="Times New Roman"/>
        </w:rPr>
        <w:t>[48–133]</w:t>
      </w:r>
      <w:r w:rsidR="4E1D31D2" w:rsidRPr="008C17AC">
        <w:rPr>
          <w:rFonts w:ascii="Times New Roman" w:eastAsia="Times New Roman" w:hAnsi="Times New Roman" w:cs="Times New Roman"/>
        </w:rPr>
        <w:fldChar w:fldCharType="end"/>
      </w:r>
      <w:r w:rsidRPr="008C17AC">
        <w:rPr>
          <w:rFonts w:ascii="Times New Roman" w:eastAsia="Times New Roman" w:hAnsi="Times New Roman" w:cs="Times New Roman"/>
        </w:rPr>
        <w:t>.</w:t>
      </w:r>
      <w:r w:rsidR="212DFE7C" w:rsidRPr="008C17AC">
        <w:rPr>
          <w:rFonts w:ascii="Times New Roman" w:eastAsia="Times New Roman" w:hAnsi="Times New Roman" w:cs="Times New Roman"/>
        </w:rPr>
        <w:t xml:space="preserve"> </w:t>
      </w:r>
      <w:r w:rsidR="165F4A7D" w:rsidRPr="008C17AC">
        <w:rPr>
          <w:rFonts w:ascii="Times New Roman" w:eastAsia="Times New Roman" w:hAnsi="Times New Roman" w:cs="Times New Roman"/>
        </w:rPr>
        <w:t>Most</w:t>
      </w:r>
      <w:r w:rsidR="6A05D04D" w:rsidRPr="008C17AC">
        <w:rPr>
          <w:rFonts w:ascii="Times New Roman" w:eastAsia="Times New Roman" w:hAnsi="Times New Roman" w:cs="Times New Roman"/>
        </w:rPr>
        <w:t xml:space="preserve"> </w:t>
      </w:r>
      <w:r w:rsidR="778B8804" w:rsidRPr="008C17AC">
        <w:rPr>
          <w:rFonts w:ascii="Times New Roman" w:eastAsia="Times New Roman" w:hAnsi="Times New Roman" w:cs="Times New Roman"/>
        </w:rPr>
        <w:t>of these</w:t>
      </w:r>
      <w:r w:rsidR="165F4A7D" w:rsidRPr="008C17AC">
        <w:rPr>
          <w:rFonts w:ascii="Times New Roman" w:eastAsia="Times New Roman" w:hAnsi="Times New Roman" w:cs="Times New Roman"/>
        </w:rPr>
        <w:t xml:space="preserve"> (n=70)</w:t>
      </w:r>
      <w:r w:rsidR="6A05D04D" w:rsidRPr="008C17AC">
        <w:rPr>
          <w:rFonts w:ascii="Times New Roman" w:eastAsia="Times New Roman" w:hAnsi="Times New Roman" w:cs="Times New Roman"/>
        </w:rPr>
        <w:t xml:space="preserve"> assessed one intervention and one outcome, </w:t>
      </w:r>
      <w:r w:rsidR="376F5801" w:rsidRPr="008C17AC">
        <w:rPr>
          <w:rFonts w:ascii="Times New Roman" w:eastAsia="Times New Roman" w:hAnsi="Times New Roman" w:cs="Times New Roman"/>
        </w:rPr>
        <w:t>however</w:t>
      </w:r>
      <w:r w:rsidR="6A05D04D" w:rsidRPr="008C17AC">
        <w:rPr>
          <w:rFonts w:ascii="Times New Roman" w:eastAsia="Times New Roman" w:hAnsi="Times New Roman" w:cs="Times New Roman"/>
        </w:rPr>
        <w:t xml:space="preserve"> </w:t>
      </w:r>
      <w:r w:rsidR="165F4A7D" w:rsidRPr="008C17AC">
        <w:rPr>
          <w:rFonts w:ascii="Times New Roman" w:eastAsia="Times New Roman" w:hAnsi="Times New Roman" w:cs="Times New Roman"/>
        </w:rPr>
        <w:t>16</w:t>
      </w:r>
      <w:r w:rsidR="6A05D04D" w:rsidRPr="008C17AC">
        <w:rPr>
          <w:rFonts w:ascii="Times New Roman" w:eastAsia="Times New Roman" w:hAnsi="Times New Roman" w:cs="Times New Roman"/>
        </w:rPr>
        <w:t xml:space="preserve"> presented data for</w:t>
      </w:r>
      <w:r w:rsidR="165F4A7D" w:rsidRPr="008C17AC">
        <w:rPr>
          <w:rFonts w:ascii="Times New Roman" w:eastAsia="Times New Roman" w:hAnsi="Times New Roman" w:cs="Times New Roman"/>
        </w:rPr>
        <w:t xml:space="preserve"> two (n=14) or three (n=2)</w:t>
      </w:r>
      <w:r w:rsidR="6A05D04D" w:rsidRPr="008C17AC">
        <w:rPr>
          <w:rFonts w:ascii="Times New Roman" w:eastAsia="Times New Roman" w:hAnsi="Times New Roman" w:cs="Times New Roman"/>
        </w:rPr>
        <w:t xml:space="preserve"> separate hypotheses, </w:t>
      </w:r>
      <w:r w:rsidR="71132E68" w:rsidRPr="008C17AC">
        <w:rPr>
          <w:rFonts w:ascii="Times New Roman" w:eastAsia="Times New Roman" w:hAnsi="Times New Roman" w:cs="Times New Roman"/>
        </w:rPr>
        <w:t xml:space="preserve">separate research questions, </w:t>
      </w:r>
      <w:r w:rsidR="6A05D04D" w:rsidRPr="008C17AC">
        <w:rPr>
          <w:rFonts w:ascii="Times New Roman" w:eastAsia="Times New Roman" w:hAnsi="Times New Roman" w:cs="Times New Roman"/>
        </w:rPr>
        <w:t>separate sub</w:t>
      </w:r>
      <w:r w:rsidR="7B8AA4D4" w:rsidRPr="008C17AC">
        <w:rPr>
          <w:rFonts w:ascii="Times New Roman" w:eastAsia="Times New Roman" w:hAnsi="Times New Roman" w:cs="Times New Roman"/>
        </w:rPr>
        <w:t>-</w:t>
      </w:r>
      <w:r w:rsidR="6A05D04D" w:rsidRPr="008C17AC">
        <w:rPr>
          <w:rFonts w:ascii="Times New Roman" w:eastAsia="Times New Roman" w:hAnsi="Times New Roman" w:cs="Times New Roman"/>
        </w:rPr>
        <w:t>studies, or separate specific interven</w:t>
      </w:r>
      <w:r w:rsidR="234AF41C" w:rsidRPr="008C17AC">
        <w:rPr>
          <w:rFonts w:ascii="Times New Roman" w:eastAsia="Times New Roman" w:hAnsi="Times New Roman" w:cs="Times New Roman"/>
        </w:rPr>
        <w:t>t</w:t>
      </w:r>
      <w:r w:rsidR="6A05D04D" w:rsidRPr="008C17AC">
        <w:rPr>
          <w:rFonts w:ascii="Times New Roman" w:eastAsia="Times New Roman" w:hAnsi="Times New Roman" w:cs="Times New Roman"/>
        </w:rPr>
        <w:t xml:space="preserve">ions or outcomes. </w:t>
      </w:r>
      <w:r w:rsidR="5167FBD6" w:rsidRPr="008C17AC">
        <w:rPr>
          <w:rFonts w:ascii="Times New Roman" w:eastAsia="Times New Roman" w:hAnsi="Times New Roman" w:cs="Times New Roman"/>
        </w:rPr>
        <w:t>Therefore, o</w:t>
      </w:r>
      <w:r w:rsidR="78B167FB" w:rsidRPr="008C17AC">
        <w:rPr>
          <w:rFonts w:ascii="Times New Roman" w:eastAsia="Times New Roman" w:hAnsi="Times New Roman" w:cs="Times New Roman"/>
        </w:rPr>
        <w:t>ur analys</w:t>
      </w:r>
      <w:r w:rsidR="55828E04" w:rsidRPr="008C17AC">
        <w:rPr>
          <w:rFonts w:ascii="Times New Roman" w:eastAsia="Times New Roman" w:hAnsi="Times New Roman" w:cs="Times New Roman"/>
        </w:rPr>
        <w:t>e</w:t>
      </w:r>
      <w:r w:rsidR="78B167FB" w:rsidRPr="008C17AC">
        <w:rPr>
          <w:rFonts w:ascii="Times New Roman" w:eastAsia="Times New Roman" w:hAnsi="Times New Roman" w:cs="Times New Roman"/>
        </w:rPr>
        <w:t xml:space="preserve">s </w:t>
      </w:r>
      <w:r w:rsidR="2D2BC034" w:rsidRPr="008C17AC">
        <w:rPr>
          <w:rFonts w:ascii="Times New Roman" w:eastAsia="Times New Roman" w:hAnsi="Times New Roman" w:cs="Times New Roman"/>
        </w:rPr>
        <w:t>we</w:t>
      </w:r>
      <w:r w:rsidR="78B167FB" w:rsidRPr="008C17AC">
        <w:rPr>
          <w:rFonts w:ascii="Times New Roman" w:eastAsia="Times New Roman" w:hAnsi="Times New Roman" w:cs="Times New Roman"/>
        </w:rPr>
        <w:t xml:space="preserve">re based on </w:t>
      </w:r>
      <w:r w:rsidR="3192E0A3" w:rsidRPr="008C17AC">
        <w:rPr>
          <w:rFonts w:ascii="Times New Roman" w:eastAsia="Times New Roman" w:hAnsi="Times New Roman" w:cs="Times New Roman"/>
        </w:rPr>
        <w:t>104 studies</w:t>
      </w:r>
      <w:r w:rsidR="01BACF94" w:rsidRPr="008C17AC">
        <w:rPr>
          <w:rFonts w:ascii="Times New Roman" w:eastAsia="Times New Roman" w:hAnsi="Times New Roman" w:cs="Times New Roman"/>
        </w:rPr>
        <w:t xml:space="preserve"> from 86 </w:t>
      </w:r>
      <w:r w:rsidR="165F4A7D" w:rsidRPr="008C17AC">
        <w:rPr>
          <w:rFonts w:ascii="Times New Roman" w:eastAsia="Times New Roman" w:hAnsi="Times New Roman" w:cs="Times New Roman"/>
        </w:rPr>
        <w:t>report</w:t>
      </w:r>
      <w:r w:rsidR="01BACF94" w:rsidRPr="008C17AC">
        <w:rPr>
          <w:rFonts w:ascii="Times New Roman" w:eastAsia="Times New Roman" w:hAnsi="Times New Roman" w:cs="Times New Roman"/>
        </w:rPr>
        <w:t>s</w:t>
      </w:r>
      <w:r w:rsidR="78B167FB" w:rsidRPr="008C17AC">
        <w:rPr>
          <w:rFonts w:ascii="Times New Roman" w:eastAsia="Times New Roman" w:hAnsi="Times New Roman" w:cs="Times New Roman"/>
        </w:rPr>
        <w:t>.</w:t>
      </w:r>
      <w:r w:rsidR="465E7B7B" w:rsidRPr="008C17AC">
        <w:rPr>
          <w:rFonts w:ascii="Times New Roman" w:eastAsia="Times New Roman" w:hAnsi="Times New Roman" w:cs="Times New Roman"/>
        </w:rPr>
        <w:t xml:space="preserve"> </w:t>
      </w:r>
      <w:r w:rsidR="257F56B7" w:rsidRPr="008C17AC">
        <w:rPr>
          <w:rFonts w:ascii="Times New Roman" w:eastAsia="Times New Roman" w:hAnsi="Times New Roman" w:cs="Times New Roman"/>
        </w:rPr>
        <w:t>Of the</w:t>
      </w:r>
      <w:r w:rsidR="6B23499E" w:rsidRPr="008C17AC">
        <w:rPr>
          <w:rFonts w:ascii="Times New Roman" w:eastAsia="Times New Roman" w:hAnsi="Times New Roman" w:cs="Times New Roman"/>
        </w:rPr>
        <w:t>se 104 studies</w:t>
      </w:r>
      <w:r w:rsidR="3C112E03" w:rsidRPr="008C17AC">
        <w:rPr>
          <w:rFonts w:ascii="Times New Roman" w:eastAsia="Times New Roman" w:hAnsi="Times New Roman" w:cs="Times New Roman"/>
        </w:rPr>
        <w:t>,</w:t>
      </w:r>
      <w:r w:rsidR="257F56B7" w:rsidRPr="008C17AC">
        <w:rPr>
          <w:rFonts w:ascii="Times New Roman" w:eastAsia="Times New Roman" w:hAnsi="Times New Roman" w:cs="Times New Roman"/>
        </w:rPr>
        <w:t xml:space="preserve"> only </w:t>
      </w:r>
      <w:r w:rsidR="6B23499E" w:rsidRPr="008C17AC">
        <w:rPr>
          <w:rFonts w:ascii="Times New Roman" w:eastAsia="Times New Roman" w:hAnsi="Times New Roman" w:cs="Times New Roman"/>
        </w:rPr>
        <w:t xml:space="preserve">15 </w:t>
      </w:r>
      <w:r w:rsidR="152A66C4" w:rsidRPr="008C17AC">
        <w:rPr>
          <w:rFonts w:ascii="Times New Roman" w:eastAsia="Times New Roman" w:hAnsi="Times New Roman" w:cs="Times New Roman"/>
        </w:rPr>
        <w:t xml:space="preserve">directly </w:t>
      </w:r>
      <w:r w:rsidR="257F56B7" w:rsidRPr="008C17AC">
        <w:rPr>
          <w:rFonts w:ascii="Times New Roman" w:eastAsia="Times New Roman" w:hAnsi="Times New Roman" w:cs="Times New Roman"/>
        </w:rPr>
        <w:t>assessed the effect of one or more interventions on reproducibility or replicability</w:t>
      </w:r>
      <w:r w:rsidR="08C07658" w:rsidRPr="008C17AC">
        <w:rPr>
          <w:rFonts w:ascii="Times New Roman" w:eastAsia="Times New Roman" w:hAnsi="Times New Roman" w:cs="Times New Roman"/>
        </w:rPr>
        <w:t xml:space="preserve"> by re-analysing data or actually reproducing the results of previous research</w:t>
      </w:r>
      <w:r w:rsidR="257F56B7" w:rsidRPr="008C17AC">
        <w:rPr>
          <w:rFonts w:ascii="Times New Roman" w:eastAsia="Times New Roman" w:hAnsi="Times New Roman" w:cs="Times New Roman"/>
        </w:rPr>
        <w:t xml:space="preserve">. </w:t>
      </w:r>
      <w:r w:rsidR="6B23499E" w:rsidRPr="008C17AC">
        <w:rPr>
          <w:rFonts w:ascii="Times New Roman" w:eastAsia="Times New Roman" w:hAnsi="Times New Roman" w:cs="Times New Roman"/>
        </w:rPr>
        <w:t>The remaining 89 studies investigated the effect of one or more interventions on a proxy outcome</w:t>
      </w:r>
      <w:r w:rsidR="2FC9CA0E" w:rsidRPr="008C17AC">
        <w:rPr>
          <w:rFonts w:ascii="Times New Roman" w:eastAsia="Times New Roman" w:hAnsi="Times New Roman" w:cs="Times New Roman"/>
        </w:rPr>
        <w:t>, such as data sharing or complete reporting</w:t>
      </w:r>
      <w:r w:rsidR="6B23499E" w:rsidRPr="008C17AC">
        <w:rPr>
          <w:rFonts w:ascii="Times New Roman" w:eastAsia="Times New Roman" w:hAnsi="Times New Roman" w:cs="Times New Roman"/>
        </w:rPr>
        <w:t>.</w:t>
      </w:r>
      <w:r w:rsidR="2D1A669E" w:rsidRPr="008C17AC">
        <w:rPr>
          <w:rFonts w:ascii="Times New Roman" w:eastAsia="Times New Roman" w:hAnsi="Times New Roman" w:cs="Times New Roman"/>
        </w:rPr>
        <w:t xml:space="preserve"> A glossary of definitions can be found in Supplementary file 6.</w:t>
      </w:r>
    </w:p>
    <w:p w14:paraId="6779D53B" w14:textId="459CA65B" w:rsidR="3E019868" w:rsidRPr="008C17AC" w:rsidRDefault="0DCBCFAB" w:rsidP="3268D03A">
      <w:pPr>
        <w:spacing w:after="120" w:line="360" w:lineRule="auto"/>
        <w:ind w:left="-20" w:right="-20"/>
        <w:rPr>
          <w:rFonts w:ascii="Times New Roman" w:eastAsia="Times New Roman" w:hAnsi="Times New Roman" w:cs="Times New Roman"/>
          <w:b/>
          <w:bCs/>
        </w:rPr>
      </w:pPr>
      <w:r w:rsidRPr="008C17AC">
        <w:rPr>
          <w:rFonts w:ascii="Times New Roman" w:eastAsia="Times New Roman" w:hAnsi="Times New Roman" w:cs="Times New Roman"/>
          <w:b/>
          <w:bCs/>
        </w:rPr>
        <w:t>Fig</w:t>
      </w:r>
      <w:r w:rsidR="3DFB04BE" w:rsidRPr="008C17AC">
        <w:rPr>
          <w:rFonts w:ascii="Times New Roman" w:eastAsia="Times New Roman" w:hAnsi="Times New Roman" w:cs="Times New Roman"/>
          <w:b/>
          <w:bCs/>
        </w:rPr>
        <w:t>ure</w:t>
      </w:r>
      <w:r w:rsidRPr="008C17AC">
        <w:rPr>
          <w:rFonts w:ascii="Times New Roman" w:eastAsia="Times New Roman" w:hAnsi="Times New Roman" w:cs="Times New Roman"/>
          <w:b/>
          <w:bCs/>
        </w:rPr>
        <w:t xml:space="preserve"> 1</w:t>
      </w:r>
      <w:r w:rsidR="580A499E" w:rsidRPr="008C17AC">
        <w:rPr>
          <w:rFonts w:ascii="Times New Roman" w:eastAsia="Times New Roman" w:hAnsi="Times New Roman" w:cs="Times New Roman"/>
          <w:b/>
          <w:bCs/>
        </w:rPr>
        <w:t>.</w:t>
      </w:r>
      <w:r w:rsidRPr="008C17AC">
        <w:rPr>
          <w:rFonts w:ascii="Times New Roman" w:eastAsia="Times New Roman" w:hAnsi="Times New Roman" w:cs="Times New Roman"/>
          <w:b/>
          <w:bCs/>
        </w:rPr>
        <w:t xml:space="preserve"> PRISMA Flowchart</w:t>
      </w:r>
      <w:r w:rsidR="52EB876D" w:rsidRPr="008C17AC">
        <w:rPr>
          <w:rFonts w:ascii="Times New Roman" w:eastAsia="Times New Roman" w:hAnsi="Times New Roman" w:cs="Times New Roman"/>
          <w:b/>
          <w:bCs/>
        </w:rPr>
        <w:t xml:space="preserve"> of the search and selection process</w:t>
      </w:r>
      <w:r w:rsidR="154B6F76" w:rsidRPr="008C17AC">
        <w:rPr>
          <w:rFonts w:ascii="Times New Roman" w:eastAsia="Times New Roman" w:hAnsi="Times New Roman" w:cs="Times New Roman"/>
          <w:b/>
          <w:bCs/>
        </w:rPr>
        <w:t>.</w:t>
      </w:r>
    </w:p>
    <w:p w14:paraId="3FEDFA14" w14:textId="006DB6C7" w:rsidR="35A068DC" w:rsidRPr="008C17AC" w:rsidRDefault="35A068DC" w:rsidP="00FC0228">
      <w:pPr>
        <w:spacing w:after="120" w:line="360" w:lineRule="auto"/>
        <w:ind w:left="-20" w:right="-20"/>
        <w:rPr>
          <w:rFonts w:ascii="Times New Roman" w:hAnsi="Times New Roman" w:cs="Times New Roman"/>
        </w:rPr>
      </w:pPr>
      <w:r w:rsidRPr="008C17AC">
        <w:rPr>
          <w:rFonts w:ascii="Times New Roman" w:hAnsi="Times New Roman" w:cs="Times New Roman"/>
          <w:noProof/>
          <w:lang w:val="nl-NL" w:eastAsia="nl-NL"/>
        </w:rPr>
        <w:drawing>
          <wp:inline distT="0" distB="0" distL="0" distR="0" wp14:anchorId="19154843" wp14:editId="63BBE23E">
            <wp:extent cx="5724524" cy="3381375"/>
            <wp:effectExtent l="0" t="0" r="0" b="0"/>
            <wp:docPr id="1980054758" name="Picture 198005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24524" cy="3381375"/>
                    </a:xfrm>
                    <a:prstGeom prst="rect">
                      <a:avLst/>
                    </a:prstGeom>
                  </pic:spPr>
                </pic:pic>
              </a:graphicData>
            </a:graphic>
          </wp:inline>
        </w:drawing>
      </w:r>
    </w:p>
    <w:p w14:paraId="7CF05AB9" w14:textId="0920A64C" w:rsidR="512088DD" w:rsidRPr="008C17AC" w:rsidRDefault="512088DD" w:rsidP="1A6C9FDE">
      <w:pPr>
        <w:spacing w:after="120" w:line="360" w:lineRule="auto"/>
        <w:ind w:left="-20" w:right="-20"/>
        <w:rPr>
          <w:rFonts w:ascii="Times New Roman" w:eastAsia="Times New Roman" w:hAnsi="Times New Roman" w:cs="Times New Roman"/>
          <w:b/>
          <w:bCs/>
          <w:i/>
          <w:iCs/>
          <w:sz w:val="24"/>
          <w:szCs w:val="24"/>
        </w:rPr>
      </w:pPr>
    </w:p>
    <w:p w14:paraId="32C92B39" w14:textId="109FF68C" w:rsidR="1A6C9FDE" w:rsidRPr="008C17AC" w:rsidRDefault="1A6C9FDE" w:rsidP="1A6C9FDE">
      <w:pPr>
        <w:spacing w:after="120" w:line="360" w:lineRule="auto"/>
        <w:ind w:left="-20" w:right="-20"/>
        <w:rPr>
          <w:rFonts w:ascii="Times New Roman" w:eastAsia="Times New Roman" w:hAnsi="Times New Roman" w:cs="Times New Roman"/>
          <w:b/>
          <w:bCs/>
          <w:i/>
          <w:iCs/>
          <w:sz w:val="24"/>
          <w:szCs w:val="24"/>
        </w:rPr>
      </w:pPr>
    </w:p>
    <w:p w14:paraId="3136DEDB" w14:textId="2ACD8C4A" w:rsidR="1A6C9FDE" w:rsidRPr="008C17AC" w:rsidRDefault="1A6C9FDE" w:rsidP="1A6C9FDE">
      <w:pPr>
        <w:spacing w:after="120" w:line="360" w:lineRule="auto"/>
        <w:ind w:left="-20" w:right="-20"/>
        <w:rPr>
          <w:rFonts w:ascii="Times New Roman" w:eastAsia="Times New Roman" w:hAnsi="Times New Roman" w:cs="Times New Roman"/>
          <w:b/>
          <w:bCs/>
          <w:i/>
          <w:iCs/>
          <w:sz w:val="24"/>
          <w:szCs w:val="24"/>
        </w:rPr>
      </w:pPr>
    </w:p>
    <w:p w14:paraId="4F9EC38E" w14:textId="0B1762FE" w:rsidR="4F934D98" w:rsidRPr="008C17AC" w:rsidRDefault="59C8ED1E" w:rsidP="7529D9A3">
      <w:pPr>
        <w:spacing w:after="120" w:line="360" w:lineRule="auto"/>
        <w:ind w:left="-20" w:right="-20"/>
        <w:rPr>
          <w:rFonts w:ascii="Times New Roman" w:eastAsia="Times New Roman" w:hAnsi="Times New Roman" w:cs="Times New Roman"/>
          <w:b/>
          <w:bCs/>
          <w:i/>
          <w:iCs/>
        </w:rPr>
      </w:pPr>
      <w:r w:rsidRPr="008C17AC">
        <w:rPr>
          <w:rFonts w:ascii="Times New Roman" w:eastAsia="Times New Roman" w:hAnsi="Times New Roman" w:cs="Times New Roman"/>
          <w:b/>
          <w:bCs/>
          <w:i/>
          <w:iCs/>
        </w:rPr>
        <w:lastRenderedPageBreak/>
        <w:t>Characteristics of Included studies</w:t>
      </w:r>
    </w:p>
    <w:p w14:paraId="233D8728" w14:textId="3D02D778" w:rsidR="7E921D89" w:rsidRPr="008C17AC" w:rsidRDefault="3514304B" w:rsidP="23EF21E2">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rPr>
        <w:t xml:space="preserve">Table </w:t>
      </w:r>
      <w:r w:rsidR="49A2AA27" w:rsidRPr="008C17AC">
        <w:rPr>
          <w:rFonts w:ascii="Times New Roman" w:eastAsia="Times New Roman" w:hAnsi="Times New Roman" w:cs="Times New Roman"/>
        </w:rPr>
        <w:t>1</w:t>
      </w:r>
      <w:r w:rsidRPr="008C17AC">
        <w:rPr>
          <w:rFonts w:ascii="Times New Roman" w:eastAsia="Times New Roman" w:hAnsi="Times New Roman" w:cs="Times New Roman"/>
        </w:rPr>
        <w:t xml:space="preserve"> shows the characteristics of included studies. </w:t>
      </w:r>
      <w:r w:rsidR="24B626DF" w:rsidRPr="008C17AC">
        <w:rPr>
          <w:rFonts w:ascii="Times New Roman" w:eastAsia="Times New Roman" w:hAnsi="Times New Roman" w:cs="Times New Roman"/>
        </w:rPr>
        <w:t xml:space="preserve">Of the 86 included articles, </w:t>
      </w:r>
      <w:r w:rsidR="39DCE5C6" w:rsidRPr="008C17AC">
        <w:rPr>
          <w:rFonts w:ascii="Times New Roman" w:eastAsia="Times New Roman" w:hAnsi="Times New Roman" w:cs="Times New Roman"/>
        </w:rPr>
        <w:t>85</w:t>
      </w:r>
      <w:r w:rsidR="256486AA" w:rsidRPr="008C17AC">
        <w:rPr>
          <w:rFonts w:ascii="Times New Roman" w:eastAsia="Times New Roman" w:hAnsi="Times New Roman" w:cs="Times New Roman"/>
        </w:rPr>
        <w:t xml:space="preserve"> (99%) were peer reviewed</w:t>
      </w:r>
      <w:r w:rsidR="39DCE5C6" w:rsidRPr="008C17AC">
        <w:rPr>
          <w:rFonts w:ascii="Times New Roman" w:eastAsia="Times New Roman" w:hAnsi="Times New Roman" w:cs="Times New Roman"/>
        </w:rPr>
        <w:t xml:space="preserve">, we included one preprint and one editorial </w:t>
      </w:r>
      <w:r w:rsidR="1911C491" w:rsidRPr="008C17AC">
        <w:rPr>
          <w:rFonts w:ascii="Times New Roman" w:eastAsia="Times New Roman" w:hAnsi="Times New Roman" w:cs="Times New Roman"/>
        </w:rPr>
        <w:t>about the implementation of registered reports</w:t>
      </w:r>
      <w:r w:rsidR="7F4D3F6E" w:rsidRPr="008C17AC">
        <w:rPr>
          <w:rFonts w:ascii="Times New Roman" w:eastAsia="Times New Roman" w:hAnsi="Times New Roman" w:cs="Times New Roman"/>
        </w:rPr>
        <w:t xml:space="preserve"> by the editorial board</w:t>
      </w:r>
      <w:r w:rsidR="39DCE5C6" w:rsidRPr="008C17AC">
        <w:rPr>
          <w:rFonts w:ascii="Times New Roman" w:eastAsia="Times New Roman" w:hAnsi="Times New Roman" w:cs="Times New Roman"/>
        </w:rPr>
        <w:t>.</w:t>
      </w:r>
      <w:r w:rsidR="6088135D" w:rsidRPr="008C17AC">
        <w:rPr>
          <w:rFonts w:ascii="Times New Roman" w:eastAsia="Times New Roman" w:hAnsi="Times New Roman" w:cs="Times New Roman"/>
        </w:rPr>
        <w:t xml:space="preserve"> </w:t>
      </w:r>
      <w:r w:rsidR="293EA8DA" w:rsidRPr="008C17AC">
        <w:rPr>
          <w:rFonts w:ascii="Times New Roman" w:eastAsia="Times New Roman" w:hAnsi="Times New Roman" w:cs="Times New Roman"/>
        </w:rPr>
        <w:t xml:space="preserve">The included studies </w:t>
      </w:r>
      <w:r w:rsidR="4827F916" w:rsidRPr="008C17AC">
        <w:rPr>
          <w:rFonts w:ascii="Times New Roman" w:eastAsia="Times New Roman" w:hAnsi="Times New Roman" w:cs="Times New Roman"/>
        </w:rPr>
        <w:t xml:space="preserve">used a variety of </w:t>
      </w:r>
      <w:r w:rsidR="293EA8DA" w:rsidRPr="008C17AC">
        <w:rPr>
          <w:rFonts w:ascii="Times New Roman" w:eastAsia="Times New Roman" w:hAnsi="Times New Roman" w:cs="Times New Roman"/>
        </w:rPr>
        <w:t>study designs</w:t>
      </w:r>
      <w:r w:rsidR="6A2D0552" w:rsidRPr="008C17AC">
        <w:rPr>
          <w:rFonts w:ascii="Times New Roman" w:eastAsia="Times New Roman" w:hAnsi="Times New Roman" w:cs="Times New Roman"/>
        </w:rPr>
        <w:t>, as described below.</w:t>
      </w:r>
      <w:r w:rsidR="293EA8DA" w:rsidRPr="008C17AC">
        <w:rPr>
          <w:rFonts w:ascii="Times New Roman" w:eastAsia="Times New Roman" w:hAnsi="Times New Roman" w:cs="Times New Roman"/>
        </w:rPr>
        <w:t xml:space="preserve"> </w:t>
      </w:r>
    </w:p>
    <w:p w14:paraId="260DE70B" w14:textId="6A4FA04F" w:rsidR="765E155D" w:rsidRPr="008C17AC" w:rsidRDefault="46271986" w:rsidP="1A6C9FDE">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u w:val="single"/>
        </w:rPr>
        <w:t>Randomized controlled trial (n=6 studies):</w:t>
      </w:r>
      <w:r w:rsidRPr="008C17AC">
        <w:rPr>
          <w:rFonts w:ascii="Times New Roman" w:eastAsia="Times New Roman" w:hAnsi="Times New Roman" w:cs="Times New Roman"/>
        </w:rPr>
        <w:t xml:space="preserve"> five studies randomized subjects to receive the intervention or not </w:t>
      </w:r>
      <w:r w:rsidR="1A655EF5" w:rsidRPr="008C17AC">
        <w:rPr>
          <w:rFonts w:ascii="Times New Roman" w:eastAsia="Times New Roman" w:hAnsi="Times New Roman" w:cs="Times New Roman"/>
        </w:rPr>
        <w:fldChar w:fldCharType="begin"/>
      </w:r>
      <w:r w:rsidR="1A655EF5" w:rsidRPr="008C17AC">
        <w:rPr>
          <w:rFonts w:ascii="Times New Roman" w:eastAsia="Times New Roman" w:hAnsi="Times New Roman" w:cs="Times New Roman"/>
        </w:rPr>
        <w:instrText xml:space="preserve"> ADDIN ZOTERO_ITEM CSL_CITATION {"citationID":"WxCEbJDA","properties":{"formattedCitation":"[57,64,87,111,124]","plainCitation":"[57,64,87,111,124]","noteIndex":0},"citationItems":[{"id":29704,"uris":["http://zotero.org/groups/4983756/items/FQ8FWNP8"],"itemData":{"id":29704,"type":"article-journal","abstract":"Objective To evaluate the impact of an editorial intervention to improve completeness of reporting of reports of randomised trials. Design Randomised controlled trial (RCT). Setting BMJ Open’s quality improvement programme. Participants 24 manuscripts describing RCTs. Interventions We used an R Shiny application to randomise manuscripts (1:1 allocation ratio, blocks of 4) to the intervention (n=12) or control (n=12) group. The intervention was performed by a researcher with expertise in the content of the Consolidated Standards of Reporting Trials (CONSORT) and consisted of an evaluation of completeness of reporting of eight core CONSORT items using the submitted checklist to locate information, and the production of a report containing specific requests for authors based on the reporting issues found, provided alongside the peer review reports. The control group underwent the usual peer review. Outcomes The primary outcome is the number of adequately reported items (0–8 scale) in the revised manuscript after the first round of peer review. The main analysis was intention-to-treat (n=24), and we imputed the scores of lost to follow-up manuscripts (rejected after peer review and not resubmitted). The secondary outcome is the proportion of manuscripts where each item was adequately reported. Two blinded reviewers assessed the outcomes independently and in duplicate and solved disagreements by consensus. We also recorded the amount of time to perform the intervention. Results Manuscripts in the intervention group (mean: 7.01; SD: 1.47) were more completely reported than those in the control group (mean: 5.68; SD: 1.43) (mean difference 1.43, 95% CI 0.31 to 2.58). We observed the main differences in items 6a (outcomes), 9 (allocation concealment mechanism), 11a (blinding) and 17a (outcomes and estimation). The mean time to perform the intervention was 87 (SD 42) min. Conclusions We demonstrated the benefit of involving a reporting guideline expert in the editorial process. Improving the completeness of RCTs is essential to enhance their usability. Trial registration number NCT03751878.","container-title":"BMJ Open","DOI":"10.1136/bmjopen-2020-036799","ISSN":"2044-6055, 2044-6055","issue":"5","page":"e036799","title":"Effect of an editorial intervention to improve the completeness of reporting of randomised trials: a randomised controlled trial","volume":"10","author":[{"literal":"Blanco David"},{"literal":"Schroter Sara"},{"literal":"Aldcroft Adrian"},{"literal":"Moher David"},{"literal":"Boutron Isabelle"},{"literal":"Kirkham Jamie J"},{"literal":"Cobo Erik"}],"issued":{"date-parts":[["2020"]]}}},{"id":29707,"uris":["http://zotero.org/groups/4983756/items/GPE7R87Z"],"itemData":{"id":29707,"type":"article-journal","abstract":"OBJECTIVE: To investigate the effect of an additional review based on reporting guidelines such as STROBE and CONSORT on quality of manuscripts. DESIGN: Masked randomised trial. Population Original research manuscripts submitted to the Medicina Clinica journal from May 2008 to April 2009 and considered suitable for publication. Intervention: CONTROL GROUP: conventional peer reviews alone. Intervention group: conventional review plus an additional review looking for missing items from reporting guidelines. Outcomes Manuscript quality, assessed with a 5 point Likert scale (primary: overall quality; secondary: average quality of specific items in paper). Main analysis compared groups as allocated, after adjustment for baseline factors (analysis of covariance); sensitivity analysis compared groups as reviewed. Adherence to reviewer suggestions assessed with Likert scale. RESULTS: Of 126 consecutive papers receiving conventional review, 34 were not suitable for publication. The remaining 92 papers were allocated to receive conventional reviews alone (n=41) or additional reviews (n=51). Four papers assigned to the conventional review group deviated from protocol; they received an additional review based on reporting guidelines. We saw an improvement in manuscript quality in favour of the additional review group (comparison as allocated, 0.25, 95% confidence interval -0.05 to 0.54; as reviewed, 0.33, 0.03 to 0.63). More papers with additional reviews than with conventional reviews alone improved from baseline (22 (43%) v eight (20%), difference 23.6% (3.2% to 44.0%), number needed to treat 4.2 (from 2.3 to 31.2), relative risk 2.21 (1.10 to 4.44)). Authors in the additional review group adhered more to suggestions from conventional reviews than to those from additional reviews (average increase 0.43 Likert points (0.19 to 0.67)). CONCLUSIONS: Additional reviews based on reporting guidelines improve manuscript quality, although the observed effect was smaller than hypothesised and not definitively demonstrated. Authors adhere more to suggestions from conventional reviews than to those from additional reviews, showing difficulties in adhering to high methodological standards at the latest research phases. To boost paper quality and impact, authors should be aware of future requirements of reporting guidelines at the very beginning of their study. Trial registration and protocol Although registries do not include trials of peer review, the protocol design was submitted to sponsored research projects (Instituto de Salud Carlos III, PI081903).","page":"d6783","title":"Effect of using reporting guidelines during peer review on quality of final manuscripts submitted to a biomedical journal: masked randomised trial","volume":"1","author":[{"literal":"Cobo E"},{"literal":"Cortes J"},{"literal":"Ribera J M"},{"literal":"Cardellach F"},{"literal":"Selva-O'Callaghan A"},{"literal":"Kostov B"},{"literal":"Garcia L"},{"literal":"Cirugeda L"},{"literal":"Altman D G"},{"literal":"Gonzalez J A"},{"literal":"Sanchez J A"},{"literal":"Miras F"},{"literal":"Urrutia A"},{"literal":"Fonollosa V"},{"literal":"Rey-Joly C"},{"literal":"Vilardell M"}],"issued":{"date-parts":[["2011"]]}}},{"id":29725,"uris":["http://zotero.org/groups/4983756/items/97FR4IP8"],"itemData":{"id":29725,"type":"article-journal","abstract":"The CONSORT Statement is an evidence-informed guideline for reporting randomised controlled trials. A number of extensions have been developed that specify additional information to report for more complex trials. The aim of this study was to evaluate the impact of using a simple web-based tool (WebCONSORT, which incorporates a number of different CONSORT extensions) on the completeness of reporting of randomised trials published in biomedical publications.","container-title":"BMC Medicine","DOI":"10.1186/s12916-016-0736-x","ISSN":"1741-7015","issue":"1","page":"199","title":"Impact of a web-based tool (WebCONSORT) to improve the reporting of randomised trials: results of a randomised controlled trial","volume":"14","author":[{"literal":"Hopewell Sally"},{"literal":"Boutron Isabelle"},{"literal":"Altman Douglas G"},{"literal":"Barbour Ginny"},{"literal":"Moher David"},{"literal":"Montori Victor"},{"literal":"Schriger David"},{"literal":"Cook Jonathan"},{"literal":"Gerry Stephen"},{"literal":"Omar Omar"},{"literal":"Dutton Peter"},{"literal":"Roberts Corran"},{"literal":"Frangou Eleni"},{"literal":"Clifton Lei"},{"literal":"Chiocchia Virginia"},{"literal":"Rombach Ines"},{"literal":"Wartolowska Karolina"},{"literal":"Ravaud Philippe"}],"issued":{"date-parts":[["2016"]]}}},{"id":29698,"uris":["http://zotero.org/groups/4983756/items/7WYJQWKK"],"itemData":{"id":29698,"type":"article-journal","abstract":"Sharing data and code are important components of reproducible research. Data sharing in research is widely discussed in the literature; however, there are no well-established evidence-based incentives that reward data sharing, nor randomized studies that demonstrate the effectiveness of data sharing policies at increasing data sharing. A simple incentive, such as an Open Data Badge, might provide the change needed to increase data sharing in health and medical research. This study was a parallel group randomized controlled trial (protocol registration: doi:10.17605/OSF.IO/PXWZQ) with two groups, control and intervention, with 80 research articles published in BMJ Open per group, with a total of 160 research articles. The intervention group received an email offer for an Open Data Badge if they shared their data along with their final publication and the control group received an email with no offer of a badge if they shared their data with their final publication. The primary outcome was the data sharing rate. Badges did not noticeably motivate researchers who published in BMJ Open to share their data; the odds of awarding badges were nearly equal in the intervention and control groups (odds ratio = 0.9, 95% CI [0.1, 9.0]). Data sharing rates were low in both groups, with just two datasets shared in each of the intervention and control groups. The global movement towards open science has made significant gains with the development of numerous data sharing policies and tools. What remains to be established is an effective incentive that motivates researchers to take up such tools to share their data.","container-title":"Royal Society Open Science","DOI":"10.1098/rsos.191818","ISSN":"2054-5703","issue":"3","page":"191818","title":"Did awarding badges increase data sharing in BMJ Open? A randomized controlled trial","volume":"7","author":[{"literal":"Rowhani-Farid A"},{"literal":"Aldcroft A"},{"literal":"Barnett A G"}],"issued":{"date-parts":[["2020"]]}}},{"id":29765,"uris":["http://zotero.org/groups/4983756/items/S4XWHTJX"],"itemData":{"id":29765,"type":"article-journal","abstract":"Importance: Numerous studies have shown that adherence to reporting guidelines is suboptimal. Objective: To evaluate whether asking peer reviewers to check if specific reporting guideline items were adequately reported would improve adherence to reporting guidelines in published articles. Design, Setting, and Participants: Two parallel-group, superiority randomized trials were performed using manuscripts submitted to 7 biomedical journals (5 from the BMJ Publishing Group and 2 from the Public Library of Science) as the unit of randomization, with peer reviewers allocated to the intervention or control group. Interventions: The first trial (CONSORT-PR) focused on manuscripts that presented randomized clinical trial (RCT) results and reported following the Consolidated Standards of Reporting Trials (CONSORT) guideline, and the second trial (SPIRIT-PR) focused on manuscripts that presented RCT protocols and reported following the Standard Protocol Items: Recommendations for Interventional Trials (SPIRIT) guideline. The CONSORT-PR trial included manuscripts that described RCT primary results (submitted July 2019 to July 2021). The SPIRIT-PR trial included manuscripts that contained RCT protocols (submitted June 2020 to May 2021). Manuscripts in both trials were randomized (1:1) to the intervention or control group; the control group received usual journal practice. In the intervention group of both trials, peer reviewers received an email from the journal that asked them to check whether the 10 most important and poorly reported CONSORT (for CONSORT-PR) or SPIRIT (for SPIRIT-PR) items were adequately reported in the manuscript. Peer reviewers and authors were not informed of the purpose of the study, and outcome assessors were blinded. Main Outcomes and Measures: The difference in the mean proportion of adequately reported 10 CONSORT or SPIRIT items between the intervention and control groups in published articles. Results: In the CONSORT-PR trial, 510 manuscripts were randomized. Of those, 243 were published (122 in the intervention group and 121 in the control group). A mean proportion of 69.3% (95% CI, 66.0%-72.7%) of the 10 CONSORT items were adequately reported in the intervention group and 66.6% (95% CI, 62.5%-70.7%) in the control group (mean difference, 2.7%; 95% CI, -2.6% to 8.0%). In the SPIRIT-PR trial, of the 244 randomized manuscripts, 178 were published (90 in the intervention group and 88 in the control group). A mean proportion of 46.1% (95% CI, 41.8%-50.4%) of the 10 SPIRIT items were adequately reported in the intervention group and 45.6% (95% CI, 41.7% to 49.4%) in the control group (mean difference, 0.5%; 95% CI, -5.2% to 6.3%). Conclusions and Relevance: These 2 randomized trials found that it was not useful to implement the tested intervention to increase reporting completeness in published articles. Other interventions should be assessed and considered in the future. Trial Registration: ClinicalTrials.gov Identifiers: NCT05820971 (CONSORT-PR) and NCT05820984 (SPIRIT-PR).","container-title":"JAMA Network Open","DOI":"10.1001/jamanetworkopen.2023.17651","ISSN":"2574-3805","issue":"6","page":"e2317651","title":"Reminding Peer Reviewers of Reporting Guideline Items to Improve Completeness in Published Articles: Primary Results of 2 Randomized Trials","volume":"6","author":[{"literal":"Speich B"},{"literal":"Mann E"},{"literal":"Schonenberger C M"},{"literal":"Mellor K"},{"literal":"Griessbach A N"},{"literal":"Dhiman P"},{"literal":"Gandhi P"},{"literal":"Lohner S"},{"literal":"Agarwal A"},{"literal":"Odutayo A"},{"literal":"Puebla I"},{"literal":"Clark A"},{"literal":"Chan A W"},{"literal":"Schlussel M M"},{"literal":"Ravaud P"},{"literal":"Moher D"},{"literal":"Briel M"},{"literal":"Boutron I"},{"literal":"Schroter S"},{"literal":"Hopewell S"}],"issued":{"date-parts":[["2023"]]}}}],"schema":"https://github.com/citation-style-language/schema/raw/master/csl-citation.json"} </w:instrText>
      </w:r>
      <w:r w:rsidR="1A655EF5" w:rsidRPr="008C17AC">
        <w:rPr>
          <w:rFonts w:ascii="Times New Roman" w:eastAsia="Times New Roman" w:hAnsi="Times New Roman" w:cs="Times New Roman"/>
        </w:rPr>
        <w:fldChar w:fldCharType="separate"/>
      </w:r>
      <w:r w:rsidRPr="008C17AC">
        <w:rPr>
          <w:rFonts w:ascii="Times New Roman" w:hAnsi="Times New Roman" w:cs="Times New Roman"/>
        </w:rPr>
        <w:t>[57,64,87,111,124]</w:t>
      </w:r>
      <w:r w:rsidR="1A655EF5" w:rsidRPr="008C17AC">
        <w:rPr>
          <w:rFonts w:ascii="Times New Roman" w:eastAsia="Times New Roman" w:hAnsi="Times New Roman" w:cs="Times New Roman"/>
        </w:rPr>
        <w:fldChar w:fldCharType="end"/>
      </w:r>
      <w:r w:rsidRPr="008C17AC">
        <w:rPr>
          <w:rFonts w:ascii="Times New Roman" w:eastAsia="Times New Roman" w:hAnsi="Times New Roman" w:cs="Times New Roman"/>
        </w:rPr>
        <w:t xml:space="preserve">. One study randomized six sections within a manuscript and then authors randomly received instructions for three out of six sections, or for none of the sections in the control group </w:t>
      </w:r>
      <w:r w:rsidR="1A655EF5" w:rsidRPr="008C17AC">
        <w:rPr>
          <w:rFonts w:ascii="Times New Roman" w:eastAsia="Times New Roman" w:hAnsi="Times New Roman" w:cs="Times New Roman"/>
        </w:rPr>
        <w:fldChar w:fldCharType="begin"/>
      </w:r>
      <w:r w:rsidR="1A655EF5" w:rsidRPr="008C17AC">
        <w:rPr>
          <w:rFonts w:ascii="Times New Roman" w:eastAsia="Times New Roman" w:hAnsi="Times New Roman" w:cs="Times New Roman"/>
        </w:rPr>
        <w:instrText xml:space="preserve"> ADDIN ZOTERO_ITEM CSL_CITATION {"citationID":"kS0JNHbK","properties":{"formattedCitation":"[55]","plainCitation":"[55]","noteIndex":0},"citationItems":[{"id":31341,"uris":["http://zotero.org/groups/4983756/items/E587G6GP","http://zotero.org/groups/4983756/items/54LX8ND4"],"itemData":{"id":31341,"type":"article-journal","container-title":"BMC Medicine","DOI":"10.1186/s12916-015-0460-y","ISSN":"1741-7015","issue":"1","journalAbbreviation":"BMC Med","language":"en","page":"221","source":"DOI.org (Crossref)","title":"Impact of an online writing aid tool for writing a randomized trial report: the COBWEB (Consort-based WEB tool) randomized controlled trial","title-short":"Impact of an online writing aid tool for writing a randomized trial report","volume":"13","author":[{"family":"Barnes","given":"Caroline"},{"family":"Boutron","given":"Isabelle"},{"family":"Giraudeau","given":"Bruno"},{"family":"Porcher","given":"Raphael"},{"family":"Altman","given":"Douglas G"},{"family":"Ravaud","given":"Philippe"}],"issued":{"date-parts":[["2015",12]]}}}],"schema":"https://github.com/citation-style-language/schema/raw/master/csl-citation.json"} </w:instrText>
      </w:r>
      <w:r w:rsidR="1A655EF5" w:rsidRPr="008C17AC">
        <w:rPr>
          <w:rFonts w:ascii="Times New Roman" w:eastAsia="Times New Roman" w:hAnsi="Times New Roman" w:cs="Times New Roman"/>
        </w:rPr>
        <w:fldChar w:fldCharType="separate"/>
      </w:r>
      <w:r w:rsidRPr="008C17AC">
        <w:rPr>
          <w:rFonts w:ascii="Times New Roman" w:hAnsi="Times New Roman" w:cs="Times New Roman"/>
        </w:rPr>
        <w:t>[55]</w:t>
      </w:r>
      <w:r w:rsidR="1A655EF5" w:rsidRPr="008C17AC">
        <w:rPr>
          <w:rFonts w:ascii="Times New Roman" w:eastAsia="Times New Roman" w:hAnsi="Times New Roman" w:cs="Times New Roman"/>
        </w:rPr>
        <w:fldChar w:fldCharType="end"/>
      </w:r>
      <w:r w:rsidRPr="008C17AC">
        <w:rPr>
          <w:rFonts w:ascii="Times New Roman" w:eastAsia="Times New Roman" w:hAnsi="Times New Roman" w:cs="Times New Roman"/>
        </w:rPr>
        <w:t xml:space="preserve">. </w:t>
      </w:r>
    </w:p>
    <w:p w14:paraId="060B9632" w14:textId="5611A981" w:rsidR="765E155D" w:rsidRPr="008C17AC" w:rsidRDefault="3096031B" w:rsidP="1A6C9FDE">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u w:val="single"/>
        </w:rPr>
        <w:t xml:space="preserve">Comparative </w:t>
      </w:r>
      <w:r w:rsidR="5779E013" w:rsidRPr="008C17AC">
        <w:rPr>
          <w:rFonts w:ascii="Times New Roman" w:eastAsia="Times New Roman" w:hAnsi="Times New Roman" w:cs="Times New Roman"/>
          <w:u w:val="single"/>
        </w:rPr>
        <w:t xml:space="preserve">between-subject </w:t>
      </w:r>
      <w:r w:rsidRPr="008C17AC">
        <w:rPr>
          <w:rFonts w:ascii="Times New Roman" w:eastAsia="Times New Roman" w:hAnsi="Times New Roman" w:cs="Times New Roman"/>
          <w:u w:val="single"/>
        </w:rPr>
        <w:t>design</w:t>
      </w:r>
      <w:r w:rsidR="52E6C7BC" w:rsidRPr="008C17AC">
        <w:rPr>
          <w:rFonts w:ascii="Times New Roman" w:eastAsia="Times New Roman" w:hAnsi="Times New Roman" w:cs="Times New Roman"/>
          <w:u w:val="single"/>
        </w:rPr>
        <w:t>, cross-sectional</w:t>
      </w:r>
      <w:r w:rsidR="1676B9E9" w:rsidRPr="008C17AC">
        <w:rPr>
          <w:rFonts w:ascii="Times New Roman" w:eastAsia="Times New Roman" w:hAnsi="Times New Roman" w:cs="Times New Roman"/>
          <w:u w:val="single"/>
        </w:rPr>
        <w:t xml:space="preserve"> (n=</w:t>
      </w:r>
      <w:r w:rsidR="5949B257" w:rsidRPr="008C17AC">
        <w:rPr>
          <w:rFonts w:ascii="Times New Roman" w:eastAsia="Times New Roman" w:hAnsi="Times New Roman" w:cs="Times New Roman"/>
          <w:u w:val="single"/>
        </w:rPr>
        <w:t xml:space="preserve">27 </w:t>
      </w:r>
      <w:r w:rsidR="1676B9E9" w:rsidRPr="008C17AC">
        <w:rPr>
          <w:rFonts w:ascii="Times New Roman" w:eastAsia="Times New Roman" w:hAnsi="Times New Roman" w:cs="Times New Roman"/>
          <w:u w:val="single"/>
        </w:rPr>
        <w:t>studies)</w:t>
      </w:r>
      <w:r w:rsidRPr="008C17AC">
        <w:rPr>
          <w:rFonts w:ascii="Times New Roman" w:eastAsia="Times New Roman" w:hAnsi="Times New Roman" w:cs="Times New Roman"/>
          <w:u w:val="single"/>
        </w:rPr>
        <w:t>:</w:t>
      </w:r>
      <w:r w:rsidRPr="008C17AC">
        <w:rPr>
          <w:rFonts w:ascii="Times New Roman" w:eastAsia="Times New Roman" w:hAnsi="Times New Roman" w:cs="Times New Roman"/>
        </w:rPr>
        <w:t xml:space="preserve"> </w:t>
      </w:r>
      <w:r w:rsidR="4A2A66F2" w:rsidRPr="008C17AC">
        <w:rPr>
          <w:rFonts w:ascii="Times New Roman" w:eastAsia="Times New Roman" w:hAnsi="Times New Roman" w:cs="Times New Roman"/>
        </w:rPr>
        <w:t>T</w:t>
      </w:r>
      <w:r w:rsidRPr="008C17AC">
        <w:rPr>
          <w:rFonts w:ascii="Times New Roman" w:eastAsia="Times New Roman" w:hAnsi="Times New Roman" w:cs="Times New Roman"/>
        </w:rPr>
        <w:t>hese studies compare</w:t>
      </w:r>
      <w:r w:rsidR="40163A53" w:rsidRPr="008C17AC">
        <w:rPr>
          <w:rFonts w:ascii="Times New Roman" w:eastAsia="Times New Roman" w:hAnsi="Times New Roman" w:cs="Times New Roman"/>
        </w:rPr>
        <w:t>d</w:t>
      </w:r>
      <w:r w:rsidRPr="008C17AC">
        <w:rPr>
          <w:rFonts w:ascii="Times New Roman" w:eastAsia="Times New Roman" w:hAnsi="Times New Roman" w:cs="Times New Roman"/>
        </w:rPr>
        <w:t xml:space="preserve"> at one point in time (</w:t>
      </w:r>
      <w:r w:rsidR="40163A53" w:rsidRPr="008C17AC">
        <w:rPr>
          <w:rFonts w:ascii="Times New Roman" w:eastAsia="Times New Roman" w:hAnsi="Times New Roman" w:cs="Times New Roman"/>
        </w:rPr>
        <w:t xml:space="preserve">or during </w:t>
      </w:r>
      <w:r w:rsidRPr="008C17AC">
        <w:rPr>
          <w:rFonts w:ascii="Times New Roman" w:eastAsia="Times New Roman" w:hAnsi="Times New Roman" w:cs="Times New Roman"/>
        </w:rPr>
        <w:t xml:space="preserve">a fixed timeframe) </w:t>
      </w:r>
      <w:r w:rsidR="79AA6432" w:rsidRPr="008C17AC">
        <w:rPr>
          <w:rFonts w:ascii="Times New Roman" w:eastAsia="Times New Roman" w:hAnsi="Times New Roman" w:cs="Times New Roman"/>
        </w:rPr>
        <w:t>participants</w:t>
      </w:r>
      <w:r w:rsidRPr="008C17AC">
        <w:rPr>
          <w:rFonts w:ascii="Times New Roman" w:eastAsia="Times New Roman" w:hAnsi="Times New Roman" w:cs="Times New Roman"/>
        </w:rPr>
        <w:t xml:space="preserve"> exposed to a certain intervention with </w:t>
      </w:r>
      <w:r w:rsidR="0FAA0706" w:rsidRPr="008C17AC">
        <w:rPr>
          <w:rFonts w:ascii="Times New Roman" w:eastAsia="Times New Roman" w:hAnsi="Times New Roman" w:cs="Times New Roman"/>
        </w:rPr>
        <w:t>participants who</w:t>
      </w:r>
      <w:r w:rsidRPr="008C17AC">
        <w:rPr>
          <w:rFonts w:ascii="Times New Roman" w:eastAsia="Times New Roman" w:hAnsi="Times New Roman" w:cs="Times New Roman"/>
        </w:rPr>
        <w:t xml:space="preserve"> have not been exposed to this intervention</w:t>
      </w:r>
      <w:r w:rsidR="77DEF21C" w:rsidRPr="008C17AC">
        <w:rPr>
          <w:rFonts w:ascii="Times New Roman" w:eastAsia="Times New Roman" w:hAnsi="Times New Roman" w:cs="Times New Roman"/>
        </w:rPr>
        <w:t xml:space="preserve"> </w:t>
      </w:r>
      <w:r w:rsidR="1A655EF5" w:rsidRPr="008C17AC">
        <w:rPr>
          <w:rFonts w:ascii="Times New Roman" w:eastAsia="Times New Roman" w:hAnsi="Times New Roman" w:cs="Times New Roman"/>
        </w:rPr>
        <w:fldChar w:fldCharType="begin"/>
      </w:r>
      <w:r w:rsidR="1A655EF5" w:rsidRPr="008C17AC">
        <w:rPr>
          <w:rFonts w:ascii="Times New Roman" w:eastAsia="Times New Roman" w:hAnsi="Times New Roman" w:cs="Times New Roman"/>
        </w:rPr>
        <w:instrText xml:space="preserve"> ADDIN ZOTERO_ITEM CSL_CITATION {"citationID":"vTw9U8dw","properties":{"formattedCitation":"[60,75,81,85,92,96\\uc0\\u8211{}98,101,102,104,109,115,120,121,123,127\\uc0\\u8211{}130,132,133]","plainCitation":"[60,75,81,85,92,96–98,101,102,104,109,115,120,121,123,127–130,132,133]","noteIndex":0},"citationItems":[{"id":29643,"uris":["http://zotero.org/groups/4983756/items/JHK75BT3"],"itemData":{"id":29643,"type":"article-journal","abstract":"OBJECTIVES: To determine the prevalence of reporting guideline endorsement in pathology journals and to estimate the impact of guideline endorsement. METHODS: We compared the quality of reporting in two sets of studies: (1) studies published in journals that explicitly mentioned a guideline vs studies published in journals that did not and (2) studies that cited a guideline vs studies that did not. The quality of reporting in prognostic biomarker studies was assessed using the REporting recommendations for tumor MARKer prognostic studies (REMARK) guideline. RESULTS: We found that six (10%) of the 59 leading pathology journals explicitly mention reporting guidelines in the instructions to authors. Only one journal required authors to submit a checklist. There was significant variation in the rate at which various REMARK items were reported (P &lt; .001). Journal endorsement was associated with more complete reporting (P = .04). Studies that cited REMARK had greater adherence to the REMARK reporting guidelines than studies that did not (P = .02). CONCLUSIONS: The prevalence of guideline endorsement is relatively low in pathology journals, but guideline endorsement may improve the quality of reporting.","container-title":"American Journal of Clinical Pathology","DOI":"10.1093/ajcp/aqx080","ISSN":"1943-7722","issue":"4","page":"314-322","title":"A Survey of the Prevalence and Impact of Reporting Guideline Endorsement in Pathology Journals","volume":"148","author":[{"literal":"Caron J E"},{"literal":"March J K"},{"literal":"Cohen M B"},{"literal":"Schmidt R L"}],"issued":{"date-parts":[["2017"]]}}},{"id":29639,"uris":["http://zotero.org/groups/4983756/items/MPZL6QUA"],"itemData":{"id":29639,"type":"article-journal","abstract":"Positive (statistically significant) findings are easily produced in nutrition research when specific aspects of the research design and analysis are not accounted for. To address this issue, recently, a pledge was made to reform nutrition research and improve scientific trust on the science, encompass research transparency and achieve reproducibility. The aim of the present meta-epidemiological study was to evaluate the statistical significance status of research items published in three academic journals, all with a focus on clinical nutrition science and assessing certain methodological/transparency issues. All research items were published between the years 2015 and 2019. Study design, primary and secondary findings, sample size and age group, funding sources, positivist findings, the existence of a published research protocol and the adjustment of nutrients/dietary indexes to the energy intake (EI) of participants, were extracted for each study. Out of 2127 studies in total, those with positive findings consisted of the majority, in all three journals. Most studies had a published research protocol, however, this was mainly due to the randomized controlled trials and not to the evidence-synthesis studies. No differences were found in the distribution of positive findings according to the existence/inexistence of a published research protocol. In the pooled sample of studies, positive findings differed according to study design and more significant findings were reported by researchers failing to report any funding source. The majority of items published in the three journals (65.9%) failed to account for the EI of participants. The present results indicate that there is still room for the improvement of nutrition research in terms of design, analyses and reporting.","container-title":"Nutrients","DOI":"10.3390/nu14235164","ISSN":"2072-6643","issue":"23","page":"04","title":"A Meta-Epidemiological Study of Positive Results in Clinical Nutrition Research: The Good, the Bad and the Ugly of Statistically Significant Findings","volume":"14","author":[{"literal":"Gkiouras K"},{"literal":"Choleva M E"},{"literal":"Verrou A"},{"literal":"Goulis D G"},{"literal":"Bogdanos D P"},{"literal":"Grammatikopoulou M G"}],"issued":{"date-parts":[["2022"]]}}},{"id":29723,"uris":["http://zotero.org/groups/4983756/items/J8VFZQZM"],"itemData":{"id":29723,"type":"article-journal","abstract":"BACKGROUND: Various stakeholders are calling for increased availability of data and code from cancer research. However, it is unclear how commonly these products are shared, and what factors are associated with sharing. Our objective was to evaluate how frequently oncology researchers make data and code available and explore factors associated with sharing. METHODS: A cross-sectional analysis of a random sample of 306 cancer-related articles indexed in PubMed in 2019 which studied research subjects with a cancer diagnosis was performed. All articles were independently screened for eligibility by two authors. Outcomes of interest included the prevalence of affirmative sharing declarations and the rate with which declarations connected to data complying with key FAIR principles (e.g. posted to a recognised repository, assigned an identifier, data license outlined, non-proprietary formatting). We also investigated associations between sharing rates and several journal characteristics (e.g. sharing policies, publication models), study characteristics (e.g. cancer rarity, study design), open science practices (e.g. pre-registration, pre-printing) and subsequent citation rates between 2020 and 2021. RESULTS: One in five studies declared data were publicly available (59/306, 19%, 95% CI: 15-24%). However, when data availability was investigated this percentage dropped to 16% (49/306, 95% CI: 12-20%), and then to less than 1% (1/306, 95% CI: 0-2%) when data were checked for compliance with key FAIR principles. While only 4% of articles that used inferential statistics reported code to be available (10/274, 95% CI: 2-6%), the odds of reporting code to be available were 5.6 times higher for researchers who shared data. Compliance with mandatory data and code sharing policies was observed in 48% (14/29) and 0% (0/6) of articles, respectively. However, 88% of articles (45/51) included data availability statements when required. Policies that encouraged data sharing did not appear to be any more effective than not having a policy at all. The only factors associated with higher rates of data sharing were studying rare cancers and using publicly available data to complement original research. CONCLUSIONS: Data and code sharing in oncology occurs infrequently, and at a lower rate than would be expected given the prevalence of mandatory sharing policies. There is also a large gap between those declaring data to be available, and those archiving data in a way that facilitates its reuse. We encourage journals to actively check compliance with sharing policies, and researchers consult community-accepted guidelines when archiving the products of their research.","container-title":"BMC Medicine","DOI":"10.1186/s12916-022-02644-2","ISSN":"1741-7015","issue":"1","page":"438","title":"How often do cancer researchers make their data and code available and what factors are associated with sharing?","volume":"20","author":[{"literal":"Hamilton D G"},{"literal":"Page M J"},{"literal":"Finch S"},{"literal":"Everitt S"},{"literal":"Fidler F"}],"issued":{"date-parts":[["2022"]]}}},{"id":29666,"uris":["http://zotero.org/groups/4983756/items/287UCC5Z"],"itemData":{"id":29666,"type":"article-journal","abstract":"Supervision is one important way to socialize Ph.D. candidates into open and responsible research. We hypothesized that one should be more likely to identify open science practices (here publishing open access and sharing data) in empirical publications that were part of a Ph.D. thesis when the Ph.D. candidates' supervisors engaged in these practices compared to those whose supervisors did not or less often did. Departing from thesis repositories at four Dutch University Medical centers, we included 211 pairs of supervisors and Ph.D. candidates, resulting in a sample of 2062 publications. We determined open access status using UnpaywallR and Open Data using Oddpub, where we also manually screened publications with potential open data statements. Eighty-three percent of our sample was published openly, and 9% had open data statements. Having a supervisor who published open access more often than the national average was associated with an odds of 1.99 to publish open access. However, this effect became nonsignificant when correcting for institutions. Having a supervisor who shared data was associated with 2.22 (CI:1.19-4.12) times the odds to share data compared to having a supervisor that did not. This odds ratio increased to 4.6 (CI:1.86-11.35) after removing false positives. The prevalence of open data in our sample was comparable to international studies; open access rates were higher. Whilst Ph.D. candidates spearhead initiatives to promote open science, this study adds value by investigating the role of supervisors in promoting open science.","container-title":"eLife","DOI":"10.7554/elife.83484","ISSN":"2050-084X","page":"22","title":"Biomedical supervisors' role modeling of open science practices","volume":"12","author":[{"literal":"Haven T L"},{"literal":"Abunijela S"},{"literal":"Hildebrand N"}],"issued":{"date-parts":[["2023"]]}}},{"id":29649,"uris":["http://zotero.org/groups/4983756/items/74N96CIV"],"itemData":{"id":29649,"type":"article-journal","container-title":"Journal of Evidence-based Medicine","DOI":"10.1111/jebm.12533","ISSN":"1756-5391","issue":"2","page":"116-119","title":"An evaluation of reporting guidelines and Clinical Trial Registry requirements among anesthesiology journals","volume":"16","author":[{"literal":"Ladd C"},{"literal":"Greenough M C"},{"literal":"Reddy A K"},{"literal":"Garrett E"},{"literal":"Peterson A"},{"literal":"Pierce A"},{"literal":"Wenger D"},{"literal":"Moore M"},{"literal":"Vassar M"}],"issued":{"date-parts":[["2023"]]}}},{"id":29779,"uris":["http://zotero.org/groups/4983756/items/XATHP6HH"],"itemData":{"id":29779,"type":"article-journal","abstract":"The scientific enterprise depends critically on the preservation of and open access to published data. This basic tenet applies acutely to phylogenies (estimates of evolutionary relationships among species). Increasingly, phylogenies are estimated from increasingly large, genome-scale datasets using increasingly complex statistical methods that require increasing levels of expertise and computational investment. Moreover, the resulting phylogenetic data provide an explicit historical perspective that critically informs research in a vast and growing number of scientific disciplines. One such use is the study of changes in rates of lineage diversification (speciation--extinction) through time. As part of a meta-analysis in this area, we sought to collect phylogenetic data (comprising nucleotide sequence alignment and tree files) from 217 studies published in 46 journals over a 13-year period. We document our attempts to procure those data (from online archives and by direct request to corresponding authors), and report results of analyses (using Bayesian logistic regression) to assess the impact of various factors on the success of our efforts. Overall, complete phylogenetic data for [Formula: see text] of these studies are effectively lost to science. Our study indicates that phylogenetic data are more likely to be deposited in online archives and/or shared upon request when: (1) the publishing journal has a strong data-sharing policy; (2) the publishing journal has a higher impact factor, and; (3) the data are requested from faculty rather than students. Importantly, our survey spans recent policy initiatives and infrastructural changes; our analyses indicate that the positive impact of these community initiatives has been both dramatic and immediate. Although the results of our study indicate that the situation is dire, our findings also reveal tremendous recent progress in the sharing and preservation of phylogenetic data.","container-title":"PLoS ONE [Electronic Resource]","DOI":"10.1371/journal.pone.0110268","ISSN":"1932-6203","issue":"10","page":"e110268","title":"The dawn of open access to phylogenetic data","volume":"9","author":[{"literal":"Magee A F"},{"literal":"May M R"},{"literal":"Moore B R"}],"issued":{"date-parts":[["2014"]]}}},{"id":29715,"uris":["http://zotero.org/groups/4983756/items/47F3JQN5"],"itemData":{"id":29715,"type":"article-journal","abstract":"The relationship between clinical research and the pharmaceutical industry has placed clinical trials in jeopardy. According to the medical literature, more than 70% of clinical trials are industry-funded. Many of these trials remain unpublished or have methodological flaws that distort their results. In 2007, it was signed into law the Food and Drug Administration Amendments Act (FDAAA), aiming to provide publicly access to a broad range of biomedical information to be made available on the platform ClinicalTrials (available at https://www.clinicaltrials.gov). We accessed ClinicalTrials.gov and evaluated the compliance of researchers and sponsors with the FDAAA. Our sample comprised 243 protocols of clinical trials of biological monoclonal antibodies (mAb) adalimumab, bevacizumab, infliximab, rituximab, and trastuzumab. We demonstrate that the new legislation has positively affected transparency patterns in clinical research, through a significant increase in publication and online reporting rates after the enactment of the law. Poorly designed trials, however, remain a challenge to be overcome, due to a high prevalence of methodological flaws. These flaws affect the quality of clinical information available, breaching ethical duties of sponsors and researchers, as well as the human right to health.","DOI":"10.7717/peerj.1015","ISSN":"2167-8359","page":"e1015","title":"FDAAA legislation is working, but methodological flaws undermine the reliability of clinical trials: a cross-sectional study","volume":"1","author":[{"literal":"Marin Dos Santos"},{"literal":"D H"},{"literal":"Atallah A N"}],"issued":{"date-parts":[["2015"]]}}},{"id":29799,"uris":["http://zotero.org/groups/4983756/items/7ZRV8896"],"itemData":{"id":29799,"type":"article-journal","abstract":"Background. Trial registration was introduced to reduce research bias by promoting trial transparency and accountability. We aimed to evaluate the frequency of, and factors associated with, trial registration and declaration of trial registration. Methods. We selected all randomized controlled trials in kidney transplantation published between October 2005 and December 2010 and determined whether a trial was registered and whether a trial declared their registration in subsequent trial reports. Results. Of 307 eligible trials identified, 24% (74/307) were registered, and of those, 59% (44/74) contained trial registration details within at least one trial report. Trial registration was more likely for trials published more than once, in later years or reported in journals that followed the International Committee of Medical Journal Editors guidelines. Trial registration was less likely for trials that did not declare their funding sources. Registered trials were more likely to declare registration details in related reports if published in later years or in a journal that followed International Committee of Medical Journal Editors guidelines. Trials that did not declare their funding sources were less likely to declare registration details. Conclusions. Although still suboptimal, the situation is improving over time, with both trial registration and declaration of registration details more likely in later years. © 2011 Lippincott Williams &amp; Wilkins.","container-title":"Transplantation","DOI":"10.1097/tp.0b013e318232baf2","ISSN":"0041-1337","page":"1094-1100","title":"Trial registration and declaration of registration by authors of randomized controlled trials","volume":"92(10)","author":[{"literal":"McGee R G"},{"literal":"Su M"},{"literal":"Kelly P J"},{"literal":"Higgins G Y"},{"literal":"Craig J C"},{"literal":"Webster A C"}],"issued":{"date-parts":[["2011"]]}}},{"id":29751,"uris":["http://zotero.org/groups/4983756/items/SV6IE9EP"],"itemData":{"id":29751,"type":"article-journal","abstract":"The achievement of a robust, effective and responsible form of data sharing is currently regarded as a priority for biological and bio-medical research. Empirical evaluations of data sharing may be regarded as an indispensable first step in the identification of critical aspects and the development of strategies aimed at increasing availability of research data for the scientific community as a whole. Research concerning human genetic variation represents a potential forerunner in the establishment of widespread sharing of primary datasets. However, no specific analysis has been conducted to date in order to ascertain whether the sharing of primary datasets is common-practice in this research field. To this aim, we analyzed a total of 543 mitochondrial and Y chromosomal datasets reported in 508 papers indexed in the Pubmed database from 2008 to 2011. A substantial portion of datasets (21.9%) was found to have been withheld, while neither strong editorial policies nor high impact factor proved to be effective in increasing the sharing rate beyond the current figure of 80.5%. Disaggregating datasets for research fields, we could observe a substantially lower sharing in medical than evolutionary and forensic genetics, more evident for whole mtDNA sequences (15.0% vs 99.6%). The low rate of positive responses to e-mail requests sent to corresponding authors of withheld datasets (28.6%) suggests that sharing should be regarded as a prerequisite for final paper acceptance, while making authors deposit their results in open online databases which provide data quality control seems to provide the best-practice standard. Finally, we estimated that 29.8% to 32.9% of total resources are used to generate withheld datasets, implying that an important portion of research funding does not produce shared knowledge. By making the scientific community and the public aware of this important aspect, we may help popularize a more effective culture of data sharing.","issue":"6","page":"e37552","title":"Mine, yours, ours? Sharing data on human genetic variation","volume":"1","author":[{"literal":"Milia N"},{"literal":"Congiu A"},{"literal":"Anagnostou P"},{"literal":"Montinaro F"},{"literal":"Capocasa M"},{"literal":"Sanna E"},{"literal":"Destro Bisol"},{"literal":"G"}],"issued":{"date-parts":[["2012"]]}}},{"id":29688,"uris":["http://zotero.org/groups/4983756/items/9G6ULCKP"],"itemData":{"id":29688,"type":"article-journal","container-title":"JAMA Network Open","DOI":"10.1001/jamanetworkopen.2023.25342","ISSN":"2574-3805","issue":"7","page":"e2325342","title":"Data Sharing for Pediatric Clinical Trials Funded by the US National Institutes of Health","volume":"6","author":[{"literal":"Narang C"},{"literal":"Ouvina M"},{"literal":"Rees C A"},{"literal":"Bourgeois F T"}],"issued":{"date-parts":[["2023"]]}}},{"id":29672,"uris":["http://zotero.org/groups/4983756/items/J8B7PAMC"],"itemData":{"id":29672,"type":"article-journal","abstract":"Objectives: To examine changes in completeness of reporting and frequency of sharing data, analytical code, and other review materials in systematic reviews over time; and factors associated with these changes. Design: Cross sectional meta-research study. Population: Random sample of 300 systematic reviews with meta-analysis of aggregate data on the effects of a health, social, behavioural, or educational intervention. Reviews were indexed in PubMed, Science Citation Index, Social Sciences Citation Index, Scopus, and Education Collection in November 2020. Main outcome measures: The extent of complete reporting and the frequency of sharing review materials in the systematic reviews indexed in 2020 were compared with 110 systematic reviews indexed in February 2014. Associations between completeness of reporting and various factors (eg, self-reported use of reporting guidelines, journal policies on data sharing) were examined by calculating risk ratios and 95% confidence intervals. Results: Several items were reported suboptimally among 300 systematic reviews from 2020, such as a registration record for the review (n=113; 38%), a full search strategy for at least one database (n=214; 71%), methods used to assess risk of bias (n=185; 62%), methods used to prepare data for meta-analysis (n=101; 34%), and source of funding for the review (n=215; 72%). Only a few items not already reported at a high frequency in 2014 were reported more frequently in 2020. No evidence indicated that reviews using a reporting guideline were more completely reported than reviews not using a guideline. Reviews published in 2020 in journals that mandated either data sharing or inclusion of data availability statements were more likely to share their review materials (eg, data, code files) than reviews in journals without such mandates (16/87 (18%) v 4/213 (2%)). Conclusion: Incomplete reporting of several recommended items for systematic reviews persists, even in reviews that claim to have followed a reporting guideline. Journal policies on data sharing might encourage sharing of review materials. © 2022 Author(s). Published by BMJ.","container-title":"BMJ","DOI":"10.1136/bmj-2022-072428","ISSN":"09598146 (ISSN)","page":"e072428","title":"Changing patterns in reporting and sharing of review data in systematic reviews with meta-analysis of the effects of interventions: Cross sectional meta-research study","author":[{"literal":"Nguyen P Y"},{"literal":"Kanukula R"},{"literal":"McKenzie J E"},{"literal":"Alqaidoom Z"},{"literal":"Brennan S E"},{"literal":"Haddaway N R"},{"literal":"Hamilton D G"},{"literal":"Karunananthan S"},{"literal":"McDonald S"},{"literal":"Moher D"},{"literal":"Nakagawa S"},{"literal":"Nunan D"},{"literal":"Tugwell P"},{"literal":"Welch V A"},{"literal":"Page M J"}],"issued":{"date-parts":[["2022"]]}}},{"id":29759,"uris":["http://zotero.org/groups/4983756/items/VKX79A8I"],"itemData":{"id":29759,"type":"article-journal","abstract":"The public sharing of primary research datasets potentially benefits the research community but is not yet common practice. In this pilot study, we analyzed whether data sharing frequency was associated with funder and publisher requirements, journal impact factor, or investigator experience and impact. Across 397 recent biomedical microarray studies, we found investigators were more likely to publicly share their raw dataset when their study was published in a high-impact journal and when the first or last authors had high levels of career experience and impact. We estimate the USA's National Institutes of Health (NIH) data sharing policy applied to 19% of the studies in our cohort; being subject to the NIH data sharing plan requirement was not found to correlate with increased data sharing behavior in multivariate logistic regression analysis. Studies published in journals that required a database submission accession number as a condition of publication were more likely to share their data, but this trend was not statistically significant. These early results will inform our ongoing larger analysis, and hopefully contribute to the development of more effective data sharing initiatives.","container-title":"Journal of Informetrics","ISSN":"1751-1577","issue":"2","page":"148-156","title":"Public sharing of research datasets: a pilot study of associations","volume":"4","author":[{"literal":"Piwowar H A"},{"literal":"Chapman W W"}],"issued":{"date-parts":[["2010"]]}}},{"id":29678,"uris":["http://zotero.org/groups/4983756/items/DYARQ4ID"],"itemData":{"id":29678,"type":"article-journal","abstract":"BACKGROUND: We evaluated the completeness of reporting of diagnostic test accuracy (DTA) systematic reviews using the recently developed Preferred Reporting Items for Systematic Reviews and MetaAnalyses (PRISMA)-DTA guidelines. METHODS: MEDLINE&lt;sup&gt; R&lt;/sup&gt; was searched for DTA systematic reviews published October 2017 to January 2018. The search time span was modulated to reach the desired sample size of 100 systematic reviews. Reporting on a per-item basis using PRISMA-DTA was evaluated. RESULTS: One hundred reviews were included. Mean reported items were 18.6 of 26 (71%; SD = 1.9) for PRISMA-DTA and 5.5 of 11 (50%; SD = 1.2) for PRISMA-DTA for abstracts. Items in the results were frequently reported. Items related to protocol registration, characteristics of included studies, results synthesis, and definitions used in data extraction were infrequently reported. Infrequently reported items from PRISMA-DTA for abstracts included funding information, strengths and limitations, characteristics of included studies, and assessment of applicability. Reporting completeness was higher in higher impact factor journals (18.9 vs 18.1 items; P = 0.04), studies that cited PRISMA (18.9 vs 17.7 items; P = 0.003), or used supplementary material (19.1 vs 18.0 items; P = 0.004). Variability in reporting was associated with author country (P = 0.04) but not journal (P = 0.6), abstract word count limitations (P = 0.9), PRISMA adoption (P = 0.2), structured abstracts (P = 0.2), study design (P = 0.8), subspecialty area (P = 0.09), or index test (P = 0.5). Abstracts with a higher word count were more informative (R = 0.4; P &lt; 0.001). No association with word counts was observed for full-text reports (R = -0.03; P = 0.06). CONCLUSIONS: Recently published reports of DTA systematic reviews are not fully informative when evaluated against the PRISMA-DTA guidelines. These results should guide knowledge translation strategies, including journal level (e.g., PRISMA-DTA adoption, increased abstract word count, and use of supplementary material) and author level (PRISMA-DTA citation awareness) strategies.","container-title":"Clinical Chemistry","DOI":"10.1373/clinchem.2018.292987","ISSN":"1530-8561","issue":"2","page":"291-301","title":"Completeness of Reporting of Systematic Reviews of Diagnostic Test Accuracy Based on the PRISMA-DTA Reporting Guideline","volume":"65","author":[{"literal":"Salameh J P"},{"literal":"McInnes M D. F"},{"literal":"Moher D"},{"literal":"Thombs B D"},{"literal":"McGrath T A"},{"literal":"Frank R"},{"literal":"Dehmoobad Sharifabadi"},{"literal":"A"},{"literal":"Kraaijpoel N"},{"literal":"Levis B"},{"literal":"Bossuyt P M"}],"issued":{"date-parts":[["2019"]]}}},{"id":29797,"uris":["http://zotero.org/groups/4983756/items/AISTSREM"],"itemData":{"id":29797,"type":"article-journal","abstract":"OBJECTIVE: This study investigated the policies of cardiac and cardiovascular system journals concerning clinical trial registration and guideline adoption to understand how frequently journals use these mechanisms to improve transparency, trial reporting and overall study quality. METHODS: We selected the top 20 (by impact factor) journals cited in the subcategory 'Cardiac and Cardiovascular Systems' of the Expanded Science Citation Index of the 2014 Journal Citation Reports to extract journal policies concerning the 17 guidelines we identified. In addition, trial and systematic review registration adherence statements were extracted. 300 randomised controlled trials published in 2016 in the top 20 journals were searched for clinical trial registry numbers and CONSORT diagrams. RESULTS: Of the 19 cardiac and cardiovascular system journals included in our analysis, eight journals (42%) did not require or recommend trial or review registration. Seven (37%) did not recommend or require a single guideline within their instructions to authors. Consolidated Standards for Reporting Trials guidelines (10/19, 53%) were recommended or required most often. Of the trials surveyed, 122/285 (42.8%) published a CONSORT diagram in their manuscript, while 236/292 (80.8%) published a trial registry number. DISCUSSION: Cardiac and cardiovascular system journals infrequently require, recommend or enforce the use of reporting guidelines. Furthermore, too few require or enforce the use of clinical trial registration. Cardiology journal editors should consider guideline adoption due to their potential to limit bias and increase transparency.","container-title":"Heart","DOI":"10.1136/heartjnl-2017-312165","ISSN":"1468-201X","issue":"9","page":"753-759","title":"Trial registration and adherence to reporting guidelines in cardiovascular journals","volume":"104","author":[{"literal":"Sims M T"},{"literal":"Bowers A M"},{"literal":"Fernan J M"},{"literal":"Dormire K D"},{"literal":"Herrington J M"},{"literal":"Vassar M"}],"issued":{"date-parts":[["2018"]]}}},{"id":29773,"uris":["http://zotero.org/groups/4983756/items/H8BX6PLY"],"itemData":{"id":29773,"type":"article-journal","abstract":"INTRODUCTION: With the intent of improving transparency in clinical research, the International Committee of Medical Journal Editors (ICMJE) established guidelines in 2005 regarding prospective clinical trial registration. This action worked to address bias related to selective outcome reporting in the medical literature. The objective of this study was to assess and characterize the quality of registration of clinical trials appearing in shoulder arthroplasty-related medical journals. METHODS: All randomized trials involving human subjects, pertaining to shoulder arthroplasty, published between July 1, 2005 and December 31, 2015, and indexed in either PubMed or SportDISCUS were analyzed. We assessed the prevalence of registration, the timing of registration relative to patient enrollment periods, and the variable rates of orthopedic journal compliance with ICMJE and Food and Drug Administration clinical registration standards for our study. RESULTS: Of the 382 articles identified, 345 (90.3%) were excluded due to failure to meet inclusion criteria. From the remaining 37, only 12 (32.4%) studies were found to be registered in a trial registry. Ten (10/12, 83.3%) of these provided their registration information within the body of the article. None of the included studies from ICMJE-recognized journals were registered. From 34 included studies from non-ICMJE recognized journals, 12 (35.3%) were registered. CONCLUSION: The level of compliance with clinical trial registration guidelines in the decade since their release among shoulder arthroplasty trials in orthopedic journals is poor. Given the importance of the issue, the prevalence of the problem, and the fact that many other medical specialties have already made efforts to improve ICMJE compliance, further work on the part of orthopedic surgery journal authors and editors is needed to ensure the publication of unbiased results. Trial registration: Umin000022487.","container-title":"PLoS ONE [Electronic Resource]","DOI":"10.1371/journal.pone.0164984","ISSN":"1932-6203","issue":"10","page":"e0164984","title":"Shoulder Arthroplasty Trials Are Infrequently Registered: A Systematic Review of Trials","volume":"11","author":[{"literal":"Sims M T"},{"literal":"Sanchez Z C"},{"literal":"Herrington J M"},{"literal":"Hensel J B"},{"literal":"Henning N M"},{"literal":"Scheckel C J"},{"literal":"Vassar M"}],"issued":{"date-parts":[["2016"]]}}},{"id":29737,"uris":["http://zotero.org/groups/4983756/items/T4QCFG4S"],"itemData":{"id":29737,"type":"article-journal","abstract":"In registered reports (RRs), initial peer review and in-principle acceptance occur before knowing the research outcomes. This combats publication bias and distinguishes planned from unplanned research. How RRs could improve the credibility of research findings is straightforward, but there is little empirical evidence. Also, there could be unintended costs such as reducing novelty. Here, 353 researchers peer reviewed a pair of papers from 29 published RRs from psychology and neuroscience and 57 non-RR comparison papers. RRs numerically outperformed comparison papers on all 19 criteria (mean difference 0.46, scale range -4 to +4) with effects ranging from RRs being statistically indistinguishable from comparison papers in novelty (0.13, 95% credible interval [-0.24, 0.49]) and creativity (0.22, [-0.14, 0.58]) to sizeable improvements in rigour of methodology (0.99, [0.62, 1.35]) and analysis (0.97, [0.60, 1.34]) and overall paper quality (0.66, [0.30, 1.02]). RRs could improve research quality while reducing publication bias and ultimately improve the credibility of the published literature.","container-title":"Nature Human Behaviour","DOI":"10.1038/s41562-021-01142-4","ISSN":"2397-3374","issue":"8","page":"990-997","title":"Initial evidence of research quality of registered reports compared with the standard publishing model","volume":"5","author":[{"literal":"Soderberg C K"},{"literal":"Errington T M"},{"literal":"Schiavone S R"},{"literal":"Bottesini J"},{"literal":"Thorn F S"},{"literal":"Vazire S"},{"literal":"Esterling K M"},{"literal":"Nosek B A"}],"issued":{"date-parts":[["2021"]]}}},{"id":29775,"uris":["http://zotero.org/groups/4983756/items/9GZ7HXIR"],"itemData":{"id":29775,"type":"article-journal","abstract":"Study preregistration promotes transparency in scientific research by making a clear distinction between a priori and post hoc procedures or analyses. Management and applied psychology have not embraced preregistration in the way other closely related social science fields have. There may be concerns that preregistration does not add value and prevents exploratory data analyses. Using a mixed-method approach, in Study 1, we compared published preregistered samples against published non-preregistered samples. We found that preregistration effectively facilitated more transparent reporting based on criteria (i.e., confirmed hypotheses and a priori analysis plans). Moreover, consistent with concerns that the published literature contains elevated type I error rates, preregistered samples had fewer statistically significant results (48%) than non-preregistered samples (66%). To learn about the perceived advantages, disadvantages, and misconceptions of study preregistration, in Study 2, we surveyed authors of preregistered studies and authors who had never preregistered a study. Participants in both samples had positive inclinations towards preregistration yet expressed concerns about the process. We conclude with a review of best practices for management and applied psychology stakeholders. © 2020, Springer Science+Business Media, LLC, part of Springer Nature.","container-title":"Journal of Business and Psychology","DOI":"10.1007/s10869-020-09695-3","ISSN":"08893268 (ISSN)","issue":"4","page":"553-571","title":"Study Preregistration: An Evaluation of a Method for Transparent Reporting","volume":"36","author":[{"literal":"Toth A A"},{"literal":"Banks G C"},{"literal":"Mellor D"},{"literal":"O’Boyle E H"},{"literal":"Dickson A"},{"literal":"Davis D J"},{"literal":"DeHaven A"},{"literal":"Bochantin J"},{"literal":"Borns J"}],"issued":{"date-parts":[["2021"]]}}},{"id":29637,"uris":["http://zotero.org/groups/4983756/items/CT7M4MQP"],"itemData":{"id":29637,"type":"article-journal","abstract":"This article presents a study on the quality and execution of research code from publicly-available replication datasets at the Harvard Dataverse repository. Research code is typically created by a group of scientists and published together with academic papers to facilitate research transparency and reproducibility. For this study, we define ten questions to address aspects impacting research reproducibility and reuse. First, we retrieve and analyze more than 2000 replication datasets with over 9000 unique R files published from 2010 to 2020. Second, we execute the code in a clean runtime environment to assess its ease of reuse. Common coding errors were identified, and some of them were solved with automatic code cleaning to aid code execution. We find that 74% of R files failed to complete without error in the initial execution, while 56% failed when code cleaning was applied, showing that many errors can be prevented with good coding practices. We also analyze the replication datasets from journals' collections and discuss the impact of the journal policy strictness on the code re-execution rate. Finally, based on our results, we propose a set of recommendations for code dissemination aimed at researchers, journals, and repositories.","container-title":"Scientific Data","DOI":"10.1038/s41597-022-01143-6","ISSN":"2052-4463","issue":"1","page":"60","title":"A large-scale study on research code quality and execution","volume":"9","author":[{"literal":"Trisovic A"},{"literal":"Lau M K"},{"literal":"Pasquier T"},{"literal":"Crosas M"}],"issued":{"date-parts":[["2022"]]}}},{"id":29791,"uris":["http://zotero.org/groups/4983756/items/QW55MMA5"],"itemData":{"id":29791,"type":"article-journal","abstract":"Background: With the exponential growth of published systematic reviews (SR), there is a high potential for overlapping and redundant duplication of work. Prospective protocol registration gives the opportunity to assess the added value of a new study or review, thereby potentially reducing research waste and simultaneously increasing transparency and research quality. The PROSPERO database for SR protocol registration was launched 10 years ago. This study aims to assess the proportion SRs of intervention studies with a protocol registration (or publication) and explore associations of SR characteristics with protocol registration status. Methods: PubMed was searched for SRs of human intervention studies published in January 2020 and January 2021. After random-stratified sampling and eligibility screening, data extraction on publication and journal characteristics, and protocol registration status, was performed. Both descriptive and multivariable comparative statistical analyses were performed. Results: A total of 357 SRs (2020: n = 163; 2021: n = 194) were included from a random sample of 1267 publications. Of the published SRs, 38% had a protocol. SRs that reported using PRISMA as a reporting guideline had higher odds of having a protocol than publications that did not report PRISMA (OR 2.71; 95% CI: 1.21 to 6.09). SRs with a higher journal impact factor had higher odds of having a protocol (OR 1.12; 95% CI 1.04 to 1.25). Publications from Asia had a lower odds of having a protocol (OR 0.43; 95% CI 0.23 to 0.80, reference category = Europe). Of the 33 SRs published in journals that endorse PROSPERO, 45% did not have a protocol. Most SR protocols were registered in PROSPERO (n = 129; 96%). Conclusions: We found that 38% of recently published SRs of interventions reported a registered or published protocol. Protocol registration was significantly associated with a higher impact factor of the journal publishing the SR and a more frequent self-reported use of the PRISMA guidelines. In some parts of the world, SR protocols are more often registered or published than others. To guide strategies to increase the uptake of SR protocol registration, further research is needed to gain understanding of the benefits and informativeness of SRs protocols among different stakeholders. Systematic review registration: osf.io/9kj7r/ © 2022, The Author(s).","container-title":"Systematic Reviews","DOI":"10.1186/s13643-022-02053-9","ISSN":"20464053 (ISSN)","issue":"1","page":"191","title":"The score after 10 years of registration of systematic review protocols","volume":"11","author":[{"literal":"van der Braak K"},{"literal":"Ghannad M"},{"literal":"Orelio C"},{"literal":"Heus P"},{"literal":"Damen J A. A"},{"literal":"Spijker R"},{"literal":"Robinson K"},{"literal":"Lund H"},{"literal":"Hooft L"}],"issued":{"date-parts":[["2022"]]}}},{"id":29656,"uris":["http://zotero.org/groups/4983756/items/LETLXS37"],"itemData":{"id":29656,"type":"article-journal","abstract":"Background/purpose: Properly designed randomized controlled trials (RCTs) are the gold standard in patient-centered clinical research. Incomplete intervention reporting affects the readers' ability to evaluate treatment efficacy. Previous studies show that detailed descriptions of trial interventions remains insufficient for reliable replication. Understanding reporting areas in need of improvement can improve the quality of intervention reporting. Methods: This cross-sectional review uses the Template for Intervention Description and Replication (TIDieR) checklist to evaluate the quality of intervention reporting in RCTs. The primary outcome was to investigate the completeness of intervention reporting of RCTs reporting outcomes for patients with alcohol use disorder (AUD) published in highly ranked addiction journals. The secondary outcomes were to: 1) evaluate whether publication of the TIDieR checklist resulted in better intervention reporting practices and 2) determine whether particular trial characteristics were associated with the completeness of intervention reporting. Results: The final analysis included 56 records. The mean number of reported TIDieR items was 5.1 (SD = 1.47) of a possible 12. TIDieR checklist publication did not increase the average completion of the TIDieR checklist items (p = 0.76). Improved TIDieR adherence was associated with trials with double blinding, non-drug interventions, and CONSORT endorsement. Discussion/conclusions: We found the reporting of interventions to be inadequate in our sample of AUD-related RCTs. Fundamental details were often not reported, hampering both clinical and research reproducibility. Moving forward, it may be necessary to consider additional mechanisms to either improve TIDieR uptake or to find other solutions to improve intervention reporting. © 2019 Elsevier B.V.","container-title":"Drug and Alcohol Dependence","DOI":"10.1016/j.drugalcdep.2019.107824","ISSN":"03768716 (ISSN)","page":"107824","title":"Assessment of the completeness of intervention reporting of randomized clinical trials for alcohol use disorders: Effect of the TIDieR checklist and guide","volume":"208","author":[{"literal":"Vassar M"},{"literal":"Pollard J"},{"literal":"Rorah D"},{"literal":"Jellison S"},{"literal":"Harter Z J"},{"literal":"Brasseux S"}],"issued":{"date-parts":[["2020"]]}}},{"id":29645,"uris":["http://zotero.org/groups/4983756/items/C83PHRTE"],"itemData":{"id":29645,"type":"article-journal","abstract":"Qualitative research plays an important role in helping us describe, interpret and generate theories about complex phenomena in healthcare. Complete and transparent reporting of research informs readers about the significance and rigor of the work. The aim of this scientometric study was to determine the quality of reporting of qualitative research in nursing social science. Studies were identified by manually searching the table of contents for qualitative papers published in the June (or closest subsequent) 2018 issue of 115 nursing journals. Adherence with the 32-item Consolidated Criteria for REporting Qualitative (COREQ) research was determined for each study by two researchers. Additional information about the study (e.g., sample size, field of nursing) and the publishing journal (e.g., endorsement of COREQ) were also extracted. Using established criteria, COREQ compliance was coded either good (≥ 25 items), moderate (17 to 24), poor (9 to 16), very poor (≤ 8) based on the number of items addressed in each study. One hundred and ninety-seven manuscripts were included. The quality of reporting was generally rated as either moderate (57%) or poor (38%). Journal endorsement of qualitative reporting guidelines was associated with better reporting. The reporting of qualitative research in nursing social science journals is suboptimal. Researchers, authors, reviewers and journal editors need to ensure their papers comprehensively address the requirements of COREQ to ensure comprehensive and transparent reporting of their research. © The Author(s) 2020.","container-title":"International Journal of Qualitative Methods","DOI":"10.1177/1609406920982145","ISSN":"16094069 (ISSN)","title":"Adherence to COREQ Reporting Guidelines for Qualitative Research: A Scientometric Study in Nursing Social Science","URL":"https://www.scopus.com/inward/record.uri?eid=2-s2.0-85098325783&amp;doi=10.1177%2f1609406920982145&amp;partnerID=40&amp;md5=6ea44ed7c5f5e7e50766ec1b3c2642c6","volume":"19","author":[{"literal":"Walsh S"},{"literal":"Jones M"},{"literal":"Bressington D"},{"literal":"McKenna L"},{"literal":"Brown E"},{"literal":"Terhaag S"},{"literal":"Shrestha M"},{"literal":"Al-Ghareeb A"},{"literal":"Gray R"}],"issued":{"date-parts":[["2020"]]}}},{"id":29694,"uris":["http://zotero.org/groups/4983756/items/Y2B35EF6"],"itemData":{"id":29694,"type":"article-journal","abstract":"BACKGROUND: Public sharing of scientific data has assumed greater importance in the omics era. Transparency is necessary for confirmation and validation, and multiple examiners aid in extracting maximal value from large data sets. Accordingly, database submission and provision of the Minimum Information About a Microarray Experiment (MIAME)3 are required by most journals as a prerequisite for review or acceptance. METHOD(S): In this study, the level of data submission and MIAME compliance was reviewed for 127 articles that included microarray-based microRNA (miRNA) profiling and were published from July 2011 through April 2012 in the journals that published the largest number of such articles-PLOS ONE, the Journal of Biological Chemistry, Blood, and Oncogene-along with articles from 9 other journals, including Clinical Chemistry, that published smaller numbers of array-based articles. RESULT(S): Overall, data submission was reported at publication for &lt;40% of all articles, and almost 75% of articles were MIAME noncompliant. On average, articles that included full data submission scored significantly higher on a quality metric than articles with limited or no data submission, and studies with adequate description of methods disproportionately included larger numbers of experimental repeats. Finally, for several articles that were not MIAME compliant, data reanalysis revealed less than complete support for the published conclusions, in 1 case leading to retraction. CONCLUSION(S): These findings buttress the hypothesis that reluctance to share data is associated with low study quality and suggest that most miRNA array investigations are underpowered and/or potentially compromised by a lack of appropriate reporting and data submission. © 2012 American Association for Clinical Chemistry.","container-title":"Clinical Chemistry","DOI":"10.1373/clinchem.2012.193813","ISSN":"0009-9147 1530-8561","page":"392-400","title":"Data submission and quality in microarray-based MicroRNA profiling","volume":"59(2)","author":[{"literal":"Witwer K W"}],"issued":{"date-parts":[["2013"]]}},"label":"page"}],"schema":"https://github.com/citation-style-language/schema/raw/master/csl-citation.json"} </w:instrText>
      </w:r>
      <w:r w:rsidR="1A655EF5" w:rsidRPr="008C17AC">
        <w:rPr>
          <w:rFonts w:ascii="Times New Roman" w:eastAsia="Times New Roman" w:hAnsi="Times New Roman" w:cs="Times New Roman"/>
        </w:rPr>
        <w:fldChar w:fldCharType="separate"/>
      </w:r>
      <w:r w:rsidR="77DEF21C" w:rsidRPr="008C17AC">
        <w:rPr>
          <w:rFonts w:ascii="Times New Roman" w:hAnsi="Times New Roman" w:cs="Times New Roman"/>
        </w:rPr>
        <w:t>[60,75,81,85,92,96–98,101,102,104,109,115,120,121,123,127–130,132,133]</w:t>
      </w:r>
      <w:r w:rsidR="1A655EF5" w:rsidRPr="008C17AC">
        <w:rPr>
          <w:rFonts w:ascii="Times New Roman" w:eastAsia="Times New Roman" w:hAnsi="Times New Roman" w:cs="Times New Roman"/>
        </w:rPr>
        <w:fldChar w:fldCharType="end"/>
      </w:r>
      <w:r w:rsidRPr="008C17AC">
        <w:rPr>
          <w:rFonts w:ascii="Times New Roman" w:eastAsia="Times New Roman" w:hAnsi="Times New Roman" w:cs="Times New Roman"/>
        </w:rPr>
        <w:t xml:space="preserve">. </w:t>
      </w:r>
      <w:r w:rsidR="40163A53" w:rsidRPr="008C17AC">
        <w:rPr>
          <w:rFonts w:ascii="Times New Roman" w:eastAsia="Times New Roman" w:hAnsi="Times New Roman" w:cs="Times New Roman"/>
        </w:rPr>
        <w:t xml:space="preserve">In four studies </w:t>
      </w:r>
      <w:r w:rsidR="1A655EF5" w:rsidRPr="008C17AC">
        <w:rPr>
          <w:rFonts w:ascii="Times New Roman" w:eastAsia="Times New Roman" w:hAnsi="Times New Roman" w:cs="Times New Roman"/>
        </w:rPr>
        <w:fldChar w:fldCharType="begin"/>
      </w:r>
      <w:r w:rsidR="1A655EF5" w:rsidRPr="008C17AC">
        <w:rPr>
          <w:rFonts w:ascii="Times New Roman" w:eastAsia="Times New Roman" w:hAnsi="Times New Roman" w:cs="Times New Roman"/>
        </w:rPr>
        <w:instrText xml:space="preserve"> ADDIN ZOTERO_ITEM CSL_CITATION {"citationID":"lpP2Ih0g","properties":{"formattedCitation":"[60,85,104,123]","plainCitation":"[60,85,104,123]","noteIndex":0},"citationItems":[{"id":29643,"uris":["http://zotero.org/groups/4983756/items/JHK75BT3"],"itemData":{"id":29643,"type":"article-journal","abstract":"OBJECTIVES: To determine the prevalence of reporting guideline endorsement in pathology journals and to estimate the impact of guideline endorsement. METHODS: We compared the quality of reporting in two sets of studies: (1) studies published in journals that explicitly mentioned a guideline vs studies published in journals that did not and (2) studies that cited a guideline vs studies that did not. The quality of reporting in prognostic biomarker studies was assessed using the REporting recommendations for tumor MARKer prognostic studies (REMARK) guideline. RESULTS: We found that six (10%) of the 59 leading pathology journals explicitly mention reporting guidelines in the instructions to authors. Only one journal required authors to submit a checklist. There was significant variation in the rate at which various REMARK items were reported (P &lt; .001). Journal endorsement was associated with more complete reporting (P = .04). Studies that cited REMARK had greater adherence to the REMARK reporting guidelines than studies that did not (P = .02). CONCLUSIONS: The prevalence of guideline endorsement is relatively low in pathology journals, but guideline endorsement may improve the quality of reporting.","container-title":"American Journal of Clinical Pathology","DOI":"10.1093/ajcp/aqx080","ISSN":"1943-7722","issue":"4","page":"314-322","title":"A Survey of the Prevalence and Impact of Reporting Guideline Endorsement in Pathology Journals","volume":"148","author":[{"literal":"Caron J E"},{"literal":"March J K"},{"literal":"Cohen M B"},{"literal":"Schmidt R L"}],"issued":{"date-parts":[["2017"]]}}},{"id":29666,"uris":["http://zotero.org/groups/4983756/items/287UCC5Z"],"itemData":{"id":29666,"type":"article-journal","abstract":"Supervision is one important way to socialize Ph.D. candidates into open and responsible research. We hypothesized that one should be more likely to identify open science practices (here publishing open access and sharing data) in empirical publications that were part of a Ph.D. thesis when the Ph.D. candidates' supervisors engaged in these practices compared to those whose supervisors did not or less often did. Departing from thesis repositories at four Dutch University Medical centers, we included 211 pairs of supervisors and Ph.D. candidates, resulting in a sample of 2062 publications. We determined open access status using UnpaywallR and Open Data using Oddpub, where we also manually screened publications with potential open data statements. Eighty-three percent of our sample was published openly, and 9% had open data statements. Having a supervisor who published open access more often than the national average was associated with an odds of 1.99 to publish open access. However, this effect became nonsignificant when correcting for institutions. Having a supervisor who shared data was associated with 2.22 (CI:1.19-4.12) times the odds to share data compared to having a supervisor that did not. This odds ratio increased to 4.6 (CI:1.86-11.35) after removing false positives. The prevalence of open data in our sample was comparable to international studies; open access rates were higher. Whilst Ph.D. candidates spearhead initiatives to promote open science, this study adds value by investigating the role of supervisors in promoting open science.","container-title":"eLife","DOI":"10.7554/elife.83484","ISSN":"2050-084X","page":"22","title":"Biomedical supervisors' role modeling of open science practices","volume":"12","author":[{"literal":"Haven T L"},{"literal":"Abunijela S"},{"literal":"Hildebrand N"}],"issued":{"date-parts":[["2023"]]}}},{"id":29672,"uris":["http://zotero.org/groups/4983756/items/J8B7PAMC"],"itemData":{"id":29672,"type":"article-journal","abstract":"Objectives: To examine changes in completeness of reporting and frequency of sharing data, analytical code, and other review materials in systematic reviews over time; and factors associated with these changes. Design: Cross sectional meta-research study. Population: Random sample of 300 systematic reviews with meta-analysis of aggregate data on the effects of a health, social, behavioural, or educational intervention. Reviews were indexed in PubMed, Science Citation Index, Social Sciences Citation Index, Scopus, and Education Collection in November 2020. Main outcome measures: The extent of complete reporting and the frequency of sharing review materials in the systematic reviews indexed in 2020 were compared with 110 systematic reviews indexed in February 2014. Associations between completeness of reporting and various factors (eg, self-reported use of reporting guidelines, journal policies on data sharing) were examined by calculating risk ratios and 95% confidence intervals. Results: Several items were reported suboptimally among 300 systematic reviews from 2020, such as a registration record for the review (n=113; 38%), a full search strategy for at least one database (n=214; 71%), methods used to assess risk of bias (n=185; 62%), methods used to prepare data for meta-analysis (n=101; 34%), and source of funding for the review (n=215; 72%). Only a few items not already reported at a high frequency in 2014 were reported more frequently in 2020. No evidence indicated that reviews using a reporting guideline were more completely reported than reviews not using a guideline. Reviews published in 2020 in journals that mandated either data sharing or inclusion of data availability statements were more likely to share their review materials (eg, data, code files) than reviews in journals without such mandates (16/87 (18%) v 4/213 (2%)). Conclusion: Incomplete reporting of several recommended items for systematic reviews persists, even in reviews that claim to have followed a reporting guideline. Journal policies on data sharing might encourage sharing of review materials. © 2022 Author(s). Published by BMJ.","container-title":"BMJ","DOI":"10.1136/bmj-2022-072428","ISSN":"09598146 (ISSN)","page":"e072428","title":"Changing patterns in reporting and sharing of review data in systematic reviews with meta-analysis of the effects of interventions: Cross sectional meta-research study","author":[{"literal":"Nguyen P Y"},{"literal":"Kanukula R"},{"literal":"McKenzie J E"},{"literal":"Alqaidoom Z"},{"literal":"Brennan S E"},{"literal":"Haddaway N R"},{"literal":"Hamilton D G"},{"literal":"Karunananthan S"},{"literal":"McDonald S"},{"literal":"Moher D"},{"literal":"Nakagawa S"},{"literal":"Nunan D"},{"literal":"Tugwell P"},{"literal":"Welch V A"},{"literal":"Page M J"}],"issued":{"date-parts":[["2022"]]}}},{"id":29737,"uris":["http://zotero.org/groups/4983756/items/T4QCFG4S"],"itemData":{"id":29737,"type":"article-journal","abstract":"In registered reports (RRs), initial peer review and in-principle acceptance occur before knowing the research outcomes. This combats publication bias and distinguishes planned from unplanned research. How RRs could improve the credibility of research findings is straightforward, but there is little empirical evidence. Also, there could be unintended costs such as reducing novelty. Here, 353 researchers peer reviewed a pair of papers from 29 published RRs from psychology and neuroscience and 57 non-RR comparison papers. RRs numerically outperformed comparison papers on all 19 criteria (mean difference 0.46, scale range -4 to +4) with effects ranging from RRs being statistically indistinguishable from comparison papers in novelty (0.13, 95% credible interval [-0.24, 0.49]) and creativity (0.22, [-0.14, 0.58]) to sizeable improvements in rigour of methodology (0.99, [0.62, 1.35]) and analysis (0.97, [0.60, 1.34]) and overall paper quality (0.66, [0.30, 1.02]). RRs could improve research quality while reducing publication bias and ultimately improve the credibility of the published literature.","container-title":"Nature Human Behaviour","DOI":"10.1038/s41562-021-01142-4","ISSN":"2397-3374","issue":"8","page":"990-997","title":"Initial evidence of research quality of registered reports compared with the standard publishing model","volume":"5","author":[{"literal":"Soderberg C K"},{"literal":"Errington T M"},{"literal":"Schiavone S R"},{"literal":"Bottesini J"},{"literal":"Thorn F S"},{"literal":"Vazire S"},{"literal":"Esterling K M"},{"literal":"Nosek B A"}],"issued":{"date-parts":[["2021"]]}}}],"schema":"https://github.com/citation-style-language/schema/raw/master/csl-citation.json"} </w:instrText>
      </w:r>
      <w:r w:rsidR="1A655EF5" w:rsidRPr="008C17AC">
        <w:rPr>
          <w:rFonts w:ascii="Times New Roman" w:eastAsia="Times New Roman" w:hAnsi="Times New Roman" w:cs="Times New Roman"/>
        </w:rPr>
        <w:fldChar w:fldCharType="separate"/>
      </w:r>
      <w:r w:rsidR="3ACC13C1" w:rsidRPr="008C17AC">
        <w:rPr>
          <w:rFonts w:ascii="Times New Roman" w:hAnsi="Times New Roman" w:cs="Times New Roman"/>
        </w:rPr>
        <w:t>[60,85,104,123]</w:t>
      </w:r>
      <w:r w:rsidR="1A655EF5" w:rsidRPr="008C17AC">
        <w:rPr>
          <w:rFonts w:ascii="Times New Roman" w:eastAsia="Times New Roman" w:hAnsi="Times New Roman" w:cs="Times New Roman"/>
        </w:rPr>
        <w:fldChar w:fldCharType="end"/>
      </w:r>
      <w:r w:rsidR="40163A53" w:rsidRPr="008C17AC">
        <w:rPr>
          <w:rFonts w:ascii="Times New Roman" w:eastAsia="Times New Roman" w:hAnsi="Times New Roman" w:cs="Times New Roman"/>
        </w:rPr>
        <w:t xml:space="preserve">, the intervention was applied by </w:t>
      </w:r>
      <w:r w:rsidRPr="008C17AC">
        <w:rPr>
          <w:rFonts w:ascii="Times New Roman" w:eastAsia="Times New Roman" w:hAnsi="Times New Roman" w:cs="Times New Roman"/>
        </w:rPr>
        <w:t>researchers themselves</w:t>
      </w:r>
      <w:r w:rsidR="40163A53" w:rsidRPr="008C17AC">
        <w:rPr>
          <w:rFonts w:ascii="Times New Roman" w:eastAsia="Times New Roman" w:hAnsi="Times New Roman" w:cs="Times New Roman"/>
        </w:rPr>
        <w:t>. In five other studies, the</w:t>
      </w:r>
      <w:r w:rsidR="04A3534A" w:rsidRPr="008C17AC">
        <w:rPr>
          <w:rFonts w:ascii="Times New Roman" w:eastAsia="Times New Roman" w:hAnsi="Times New Roman" w:cs="Times New Roman"/>
        </w:rPr>
        <w:t xml:space="preserve"> </w:t>
      </w:r>
      <w:r w:rsidR="40163A53" w:rsidRPr="008C17AC">
        <w:rPr>
          <w:rFonts w:ascii="Times New Roman" w:eastAsia="Times New Roman" w:hAnsi="Times New Roman" w:cs="Times New Roman"/>
        </w:rPr>
        <w:t>intervention</w:t>
      </w:r>
      <w:r w:rsidR="6695458A" w:rsidRPr="008C17AC">
        <w:rPr>
          <w:rFonts w:ascii="Times New Roman" w:eastAsia="Times New Roman" w:hAnsi="Times New Roman" w:cs="Times New Roman"/>
        </w:rPr>
        <w:t xml:space="preserve"> was not directly applied by the study team</w:t>
      </w:r>
      <w:r w:rsidR="40163A53" w:rsidRPr="008C17AC">
        <w:rPr>
          <w:rFonts w:ascii="Times New Roman" w:eastAsia="Times New Roman" w:hAnsi="Times New Roman" w:cs="Times New Roman"/>
        </w:rPr>
        <w:t xml:space="preserve">, as </w:t>
      </w:r>
      <w:r w:rsidR="5D6FB68E" w:rsidRPr="008C17AC">
        <w:rPr>
          <w:rFonts w:ascii="Times New Roman" w:eastAsia="Times New Roman" w:hAnsi="Times New Roman" w:cs="Times New Roman"/>
        </w:rPr>
        <w:t xml:space="preserve">it consisted of </w:t>
      </w:r>
      <w:r w:rsidR="40163A53" w:rsidRPr="008C17AC">
        <w:rPr>
          <w:rFonts w:ascii="Times New Roman" w:eastAsia="Times New Roman" w:hAnsi="Times New Roman" w:cs="Times New Roman"/>
        </w:rPr>
        <w:t>a generic policy brief, or a publication. In all other cross-sectional studies, a journal, publisher or funder applied the intervention</w:t>
      </w:r>
      <w:r w:rsidRPr="008C17AC">
        <w:rPr>
          <w:rFonts w:ascii="Times New Roman" w:eastAsia="Times New Roman" w:hAnsi="Times New Roman" w:cs="Times New Roman"/>
        </w:rPr>
        <w:t xml:space="preserve">. </w:t>
      </w:r>
    </w:p>
    <w:p w14:paraId="1B13B674" w14:textId="4043CBDA" w:rsidR="765E155D" w:rsidRPr="008C17AC" w:rsidRDefault="28750FA2" w:rsidP="1A6C9FDE">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u w:val="single"/>
        </w:rPr>
        <w:t xml:space="preserve">Comparative between-subject design, </w:t>
      </w:r>
      <w:r w:rsidR="55CB0EAC" w:rsidRPr="008C17AC">
        <w:rPr>
          <w:rFonts w:ascii="Times New Roman" w:eastAsia="Times New Roman" w:hAnsi="Times New Roman" w:cs="Times New Roman"/>
          <w:u w:val="single"/>
        </w:rPr>
        <w:t>longitudinal (n=11 studies):</w:t>
      </w:r>
      <w:r w:rsidR="55CB0EAC" w:rsidRPr="008C17AC">
        <w:rPr>
          <w:rFonts w:ascii="Times New Roman" w:eastAsia="Times New Roman" w:hAnsi="Times New Roman" w:cs="Times New Roman"/>
        </w:rPr>
        <w:t xml:space="preserve"> </w:t>
      </w:r>
      <w:r w:rsidR="42E09BBB" w:rsidRPr="008C17AC">
        <w:rPr>
          <w:rFonts w:ascii="Times New Roman" w:eastAsia="Times New Roman" w:hAnsi="Times New Roman" w:cs="Times New Roman"/>
        </w:rPr>
        <w:t>T</w:t>
      </w:r>
      <w:r w:rsidR="55CB0EAC" w:rsidRPr="008C17AC">
        <w:rPr>
          <w:rFonts w:ascii="Times New Roman" w:eastAsia="Times New Roman" w:hAnsi="Times New Roman" w:cs="Times New Roman"/>
        </w:rPr>
        <w:t>hese eleven studies measured the outcome at multiple different timepoints in different subjects (often articles)</w:t>
      </w:r>
      <w:r w:rsidR="31885723" w:rsidRPr="008C17AC">
        <w:rPr>
          <w:rFonts w:ascii="Times New Roman" w:eastAsia="Times New Roman" w:hAnsi="Times New Roman" w:cs="Times New Roman"/>
        </w:rPr>
        <w:t>, for example the measurement of reporting in articles over multiple years after the introduction of reporting policy in a journal</w:t>
      </w:r>
      <w:r w:rsidR="55CB0EAC" w:rsidRPr="008C17AC">
        <w:rPr>
          <w:rFonts w:ascii="Times New Roman" w:eastAsia="Times New Roman" w:hAnsi="Times New Roman" w:cs="Times New Roman"/>
        </w:rPr>
        <w:t xml:space="preserve"> </w:t>
      </w:r>
      <w:r w:rsidR="5CFDD1A2" w:rsidRPr="008C17AC">
        <w:rPr>
          <w:rFonts w:ascii="Times New Roman" w:eastAsia="Times New Roman" w:hAnsi="Times New Roman" w:cs="Times New Roman"/>
        </w:rPr>
        <w:fldChar w:fldCharType="begin"/>
      </w:r>
      <w:r w:rsidR="5CFDD1A2" w:rsidRPr="008C17AC">
        <w:rPr>
          <w:rFonts w:ascii="Times New Roman" w:eastAsia="Times New Roman" w:hAnsi="Times New Roman" w:cs="Times New Roman"/>
        </w:rPr>
        <w:instrText xml:space="preserve"> ADDIN ZOTERO_ITEM CSL_CITATION {"citationID":"hX3FmSmj","properties":{"formattedCitation":"[52,73,74,86,108,110,112,126]","plainCitation":"[52,73,74,86,108,110,112,126]","noteIndex":0},"citationItems":[{"id":29793,"uris":["http://zotero.org/groups/4983756/items/RB68WVGJ"],"itemData":{"id":29793,"type":"article-journal","abstract":"We assess the impact of mandating data-sharing in economics journals on two dimensions of research credibility: statistical significance and excess statistical significance (ESS). ESS is a necessary condition for publication selection bias. Quasi-experimental difference-in-differences analysis of 20,121 estimates published in 24 general interest and leading field journals shows that data-sharing policies have reduced reported statistical significance and the associated t-values. The magnitude of this reduction is large and of practical significance. We also find suggestive evidence that mandatory data-sharing reduces ESS and hence decreases publication bias.","container-title":"Journal of the European Economic Association","DOI":"10.1093/jeea/jvac053","ISSN":"1542-4766","title":"The Significance of Data-Sharing Policy","author":[{"literal":"Askarov Z"},{"literal":"Doucouliagos A"},{"literal":"Doucouliagos H"},{"literal":"Stanley T D"}],"issued":{"date-parts":[["2022"]]}}},{"id":29789,"uris":["http://zotero.org/groups/4983756/items/FEQW5SU3"],"itemData":{"id":29789,"type":"article-journal","abstract":"Changes in statistical practices and reporting have been documented by Giofre et al. PLOS ONE 12(4), e0175583 (2017), who investigated ten statistical and open practices in two high-ranking journals (Psychological Science [PS] and Journal of Experimental Psychology-General [JEPG]): null hypothesis significance testing; confidence or credible intervals; meta-analysis of the results of multiple experiments; confidence interval interpretation; effect size interpretation; sample size determination; data exclusion; data availability; materials availability; and preregistered design and analysis plan. The investigation was based on an analysis of all papers published in these journals between 2013 and 2015. The aim of the present study was to follow up changes in both PS and JEPG in subsequent years, from 2016 to 2020, adding code availability as a further open practice. We found improvement in most practices, with some exceptions (i.e., confidence interval interpretation and meta-analysis). Despite these positive changes, our results indicate a need for further improvements in statistical practices and adoption of open practices.","container-title":"Behavior Research Methods","DOI":"10.3758/s13428-022-01993-3","ISSN":"1554-3528","page":"17","title":"The influence of journal submission guidelines on authors' reporting of statistics and use of open research practices: Five years later","volume":"17","author":[{"literal":"Giofre D"},{"literal":"Boedker I"},{"literal":"Cumming G"},{"literal":"Rivella C"},{"literal":"Tressoldi P"}],"issued":{"date-parts":[["2022"]]}}},{"id":29787,"uris":["http://zotero.org/groups/4983756/items/62NTD4RM"],"itemData":{"id":29787,"type":"article-journal","abstract":"From January 2014, Psychological Science introduced new submission guidelines that encouraged the use of effect sizes, estimation, and meta-analysis (the \"new statistics\"), required extra detail of methods, and offered badges for use of open science practices. We investigated the use of these practices in empirical articles published by Psychological Science and, for comparison, by the Journal of Experimental Psychology: General, during the period of January 2013 to December 2015. The use of null hypothesis significance testing (NHST) was extremely high at all times and in both journals. In Psychological Science, the use of confidence intervals increased markedly overall, from 28% of articles in 2013 to 70% in 2015, as did the availability of open data (3 to 39%) and open materials (7 to 31%). The other journal showed smaller or much smaller changes. Our findings suggest that journal-specific submission guidelines may encourage desirable changes in authors' practices.","container-title":"PLoS ONE [Electronic Resource]","DOI":"10.1371/journal.pone.0175583","ISSN":"1932-6203","issue":"4","page":"e0175583","title":"The influence of journal submission guidelines on authors' reporting of statistics and use of open research practices","volume":"12","author":[{"literal":"Giofre D"},{"literal":"Cumming G"},{"literal":"Fresc L"},{"literal":"Boedker I"},{"literal":"Tressoldi P"}],"issued":{"date-parts":[["2017"]]}}},{"id":29705,"uris":["http://zotero.org/groups/4983756/items/PLJ552U2"],"itemData":{"id":29705,"type":"article-journal","abstract":"Objective: To investigate the effect of the CONSORT for Abstracts guidelines, and different editorial policies used by five leading general medical journals to implement the guidelines, on the reporting quality of abstracts of randomised trials. Design(s): Interrupted time series analysis. Sample: We randomly selected up to 60 primary reports of randomised trials per journal per year from five high impact, general medical journals in 2006-09, if indexed in PubMed with an electronic abstract. We excluded reports that did not include an electronic abstract, and any secondary trial publications or economic analyses. We classified journals in three categories: those not mentioning the guidelines in their instructions to authors (JAMA and New England Journal of Medicine), those referring to the guidelines in their instructions to authors but with no specific policy to implement them (BMJ), and those referring to the guidelines in their instructions to authors with an active policy to implement them (Annals of Internal Medicine and Lancet). Two authors extracted data independently using the CONSORT for Abstracts checklist. Main outcome: Mean number of CONSORT items reported in selected abstracts, among nine items reported in fewer than 50% of the abstracts published across the five journals in 2006. Result(s): We assessed 955 reports of abstracts of randomised trials. Journals with an active policy to enforce the guidelines showed an immediate increase in the level of mean number of items reported (increase of 1.50 items; P=0.0037). At 23 months after publication of the guidelines, the mean number of items reported per abstract for the primary outcome was 5.41 of nine items, a 53% increase compared with the expected level estimated on the basis of pre-intervention trends. The change in level or trend did not increase in journals with no policy to enforce the guidelines (BMJ, JAMA, and New England Journal of Medicine). Conclusion(s): Active implementation of the CONSORT for Abstracts guidelines by journals can lead to improvements in the reporting of abstracts of randomised trials.","container-title":"BMJ (Online)","DOI":"10.1136/bmj.e4178","ISSN":"1756-1833 (electronic) 1756-1833","page":"e4178","title":"Effect of editors' implementation of CONSORT guidelines on the reporting of abstracts in high impact medical journals: Interrupted time series analysis","volume":"345(7864) (no pagination)","author":[{"literal":"Hopewell S"},{"literal":"Ravaud P"},{"literal":"Baron G"},{"literal":"Boutron I"}],"issued":{"date-parts":[["2012"]]}}},{"id":29803,"uris":["http://zotero.org/groups/4983756/items/C3CD6Y9N"],"itemData":{"id":29803,"type":"article-journal","abstract":"Many initiatives encourage investigators to share their raw datasets in hopes of increasing research efficiency and quality. Despite these investments of time and money, we do not have a firm grasp of who openly shares raw research data, who doesn't, and which initiatives are correlated with high rates of data sharing. In this analysis I use bibliometric methods to identify patterns in the frequency with which investigators openly archive their raw gene expression microarray datasets after study publication. Automated methods identified 11,603 articles published between 2000 and 2009 that describe the creation of gene expression microarray data. Associated datasets in best-practice repositories were found for 25% of these articles, increasing from less than 5% in 2001 to 30%-35% in 2007-2009. Accounting for sensitivity of the automated methods, approximately 45% of recent gene expression studies made their data publicly available. First-order factor analysis on 124 diverse bibliometric attributes of the data creation articles revealed 15 factors describing authorship, funding, institution, publication, and domain environments. In multivariate regression, authors were most likely to share data if they had prior experience sharing or reusing data, if their study was published in an open access journal or a journal with a relatively strong data sharing policy, or if the study was funded by a large number of NIH grants. Authors of studies on cancer and human subjects were least likely to make their datasets available. These results suggest research data sharing levels are still low and increasing only slowly, and data is least available in areas where it could make the biggest impact. Let's learn from those with high rates of sharing to embrace the full potential of our research output.","container-title":"PLoS ONE [Electronic Resource]","DOI":"10.1371/journal.pone.0018657","ISSN":"1932-6203","issue":"7","page":"e18657","title":"Who shares? Who doesn't? Factors associated with openly archiving raw research data","volume":"6","author":[{"literal":"Piwowar H A"}],"issued":{"date-parts":[["2011"]]}}},{"id":29735,"uris":["http://zotero.org/groups/4983756/items/INLL35UM"],"itemData":{"id":29735,"type":"paper-conference","abstract":"Reproducible research results are among the pillars of sustainable science, and considerable progress has been achieved in this direction recently. However, there is much room for improvement across the research communities. Here we analyze the reproducibility of 108 publications from an interdisciplinary Collaborative Research Center on applied mathematics in various scientific fields. Based on a previous reproducibility study in hydrology, we identify the rate of reproducible scientific results and why reproducibility fails. We identify the main problems that hinder reproducible results and relate them to previous interventions targeting the research culture of reproducible scientific findings. Thus, the success of our measures can be estimated, and specific recommendations for future work can be derived. In our study, the number of publications that allow for at least partly reproducible research results increased over time. However, we see an ongoing need for directives and support in research data management among research communities since issues concerning data accessibility and quality limit the reproducibility of scientific results. We argue that our results are representative of other interdisciplinary research areas. © 2022 Gesellschaft fur Informatik (GI). All rights reserved.","DOI":"10.18420/inf2022_114","ISBN":"16175468 (ISSN); 978-388579720-3 (ISBN)","page":"1341-1352","publisher":"Gesellschaft fur Informatik (GI)","title":"Including Data Management in Research Culture Increases the Reproducibility of Scientific Results","URL":"https://www.scopus.com/inward/record.uri?eid=2-s2.0-85139744413&amp;doi=10.18420%2finf2022_114&amp;partnerID=40&amp;md5=2890832363c9078bfcacea10893943dc","volume":"P-326","author":[{"literal":"Riedel C"},{"literal":"Geßner H"},{"literal":"Seegebrecht A"},{"literal":"Ayon S I"},{"literal":"Chowdhury S H"},{"literal":"Engbert R"},{"literal":"Lucke U"}],"editor":[{"literal":"Demmler D"},{"literal":"Universitat Hamburg"},{"literal":"Vogt-Kolln-Strasse Hamburg"},{"literal":"Krupka D"},{"literal":"Gesellschaft fur Informatik"},{"literal":"Anna-Louisa-Karsch-Strasse Berlin"},{"literal":"Federrath H"},{"literal":"Universitat Hamburg"},{"literal":"Vogt-Kolln-Strasse Hamburg"}],"issued":{"date-parts":[["2022"]]}}},{"id":29719,"uris":["http://zotero.org/groups/4983756/items/7TKX7MPF"],"itemData":{"id":29719,"type":"article-journal","abstract":"OBJECTIVE: To quantify data sharing trends and data sharing policy compliance at the British Medical Journal (BMJ) by analysing the rate of data sharing practices, and investigate attitudes and examine barriers towards data sharing. DESIGN: Observational study. SETTING: The BMJ research archive. PARTICIPANTS: 160 randomly sampled BMJ research articles from 2009 to 2015, excluding meta-analysis and systematic reviews. MAIN OUTCOME MEASURES: Percentages of research articles that indicated the availability of their raw data sets in their data sharing statements, and those that easily made their data sets available on request. RESULTS: 3 articles contained the data in the article. 50 out of 157 (32%) remaining articles indicated the availability of their data sets. 12 used publicly available data and the remaining 38 were sent email requests to access their data sets. Only 1 publicly available data set could be accessed and only 6 out of 38 shared their data via email. So only 7/157 research articles shared their data sets, 4.5% (95% CI 1.8% to 9%). For 21 clinical trials bound by the BMJ data sharing policy, the per cent shared was 24% (8% to 47%). CONCLUSIONS: Despite the BMJ's strong data sharing policy, sharing rates are low. Possible explanations for low data sharing rates could be: the wording of the BMJ data sharing policy, which leaves room for individual interpretation and possible loopholes; that our email requests ended up in researchers spam folders; and that researchers are not rewarded for sharing their data. It might be time for a more effective data sharing policy and better incentives for health and medical researchers to share their data.","container-title":"BMJ Open","DOI":"10.1136/bmjopen-2016-011784","ISSN":"2044-6055","issue":"10","page":"e011784","title":"Has open data arrived at the British Medical Journal (BMJ)? An observational study","volume":"6","author":[{"literal":"Rowhani-Farid A"},{"literal":"Barnett A G"}],"issued":{"date-parts":[["2016"]]}}},{"id":29700,"uris":["http://zotero.org/groups/4983756/items/DPMTCKA4"],"itemData":{"id":29700,"type":"article-journal","abstract":"Purpose: Data sharing is widely thought to help research quality and efficiency. Data sharing mandates are increasingly being adopted by journals and the purpose of this paper is to assess whether they work. Design/methodology/approach: This study examines two evolutionary biology journals, Evolution and Heredity, that have data sharing mandates and make extensive use of Dryad. It uses a quantitative analysis of presence in Dryad, downloads and citations. Findings: Within both journals, data sharing seems to be complete, showing that the mandates work on a technical level. Low correlations (0.15-0.18) between data downloads and article citation counts for articles published in 2012 within these journals indicate a weak relationship between data sharing and research impact. An average of 40-55 data downloads per article after a few years suggests that some use is found for shared life sciences data. Research limitations/implications: The value of shared data uses is unclear. Practical implications: Data sharing mandates should be encouraged as an effective strategy. Originality/value: This is the first analysis of the effectiveness of data sharing mandates. © 2017, © Emerald Publishing Limited.","container-title":"Aslib Journal of Information Management","DOI":"10.1108/ajim-09-2016-0159","ISSN":"20503806 (ISSN)","issue":"1","page":"36-45","title":"Do journal data sharing mandates work? Life sciences evidence from Dryad","volume":"69","author":[{"literal":"Thelwall M"},{"literal":"Kousha K"}],"issued":{"date-parts":[["2017"]]}},"label":"page"}],"schema":"https://github.com/citation-style-language/schema/raw/master/csl-citation.json"} </w:instrText>
      </w:r>
      <w:r w:rsidR="5CFDD1A2" w:rsidRPr="008C17AC">
        <w:rPr>
          <w:rFonts w:ascii="Times New Roman" w:eastAsia="Times New Roman" w:hAnsi="Times New Roman" w:cs="Times New Roman"/>
        </w:rPr>
        <w:fldChar w:fldCharType="separate"/>
      </w:r>
      <w:r w:rsidR="55CB0EAC" w:rsidRPr="008C17AC">
        <w:rPr>
          <w:rFonts w:ascii="Times New Roman" w:hAnsi="Times New Roman" w:cs="Times New Roman"/>
        </w:rPr>
        <w:t>[52,73,74,86,108,110,112,126]</w:t>
      </w:r>
      <w:r w:rsidR="5CFDD1A2" w:rsidRPr="008C17AC">
        <w:rPr>
          <w:rFonts w:ascii="Times New Roman" w:eastAsia="Times New Roman" w:hAnsi="Times New Roman" w:cs="Times New Roman"/>
        </w:rPr>
        <w:fldChar w:fldCharType="end"/>
      </w:r>
      <w:r w:rsidR="55CB0EAC" w:rsidRPr="008C17AC">
        <w:rPr>
          <w:rFonts w:ascii="Times New Roman" w:eastAsia="Times New Roman" w:hAnsi="Times New Roman" w:cs="Times New Roman"/>
        </w:rPr>
        <w:t xml:space="preserve">. </w:t>
      </w:r>
      <w:r w:rsidR="32EEFF4E" w:rsidRPr="008C17AC">
        <w:rPr>
          <w:rFonts w:ascii="Times New Roman" w:eastAsia="Times New Roman" w:hAnsi="Times New Roman" w:cs="Times New Roman"/>
        </w:rPr>
        <w:t>One study followed a group of researchers who built a collaborative training community [</w:t>
      </w:r>
      <w:r w:rsidR="009E0421" w:rsidRPr="008C17AC">
        <w:rPr>
          <w:rFonts w:ascii="Times New Roman" w:eastAsia="Times New Roman" w:hAnsi="Times New Roman" w:cs="Times New Roman"/>
        </w:rPr>
        <w:t>110</w:t>
      </w:r>
      <w:r w:rsidR="32EEFF4E" w:rsidRPr="008C17AC">
        <w:rPr>
          <w:rFonts w:ascii="Times New Roman" w:eastAsia="Times New Roman" w:hAnsi="Times New Roman" w:cs="Times New Roman"/>
        </w:rPr>
        <w:t>].</w:t>
      </w:r>
    </w:p>
    <w:p w14:paraId="0DE35744" w14:textId="67E37015" w:rsidR="765E155D" w:rsidRPr="008C17AC" w:rsidRDefault="6126C265" w:rsidP="1A6C9FDE">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u w:val="single"/>
        </w:rPr>
        <w:t>Comparative between-subject design,</w:t>
      </w:r>
      <w:r w:rsidR="55CB0EAC" w:rsidRPr="008C17AC">
        <w:rPr>
          <w:rFonts w:ascii="Times New Roman" w:eastAsia="Times New Roman" w:hAnsi="Times New Roman" w:cs="Times New Roman"/>
          <w:u w:val="single"/>
        </w:rPr>
        <w:t xml:space="preserve"> pre-post </w:t>
      </w:r>
      <w:r w:rsidR="24C6C1C9" w:rsidRPr="008C17AC">
        <w:rPr>
          <w:rFonts w:ascii="Times New Roman" w:eastAsia="Times New Roman" w:hAnsi="Times New Roman" w:cs="Times New Roman"/>
          <w:u w:val="single"/>
        </w:rPr>
        <w:t>interventio</w:t>
      </w:r>
      <w:r w:rsidR="55CB0EAC" w:rsidRPr="008C17AC">
        <w:rPr>
          <w:rFonts w:ascii="Times New Roman" w:eastAsia="Times New Roman" w:hAnsi="Times New Roman" w:cs="Times New Roman"/>
          <w:u w:val="single"/>
        </w:rPr>
        <w:t>n (n=21 studies):</w:t>
      </w:r>
      <w:r w:rsidR="55CB0EAC" w:rsidRPr="008C17AC">
        <w:rPr>
          <w:rFonts w:ascii="Times New Roman" w:eastAsia="Times New Roman" w:hAnsi="Times New Roman" w:cs="Times New Roman"/>
        </w:rPr>
        <w:t xml:space="preserve"> </w:t>
      </w:r>
      <w:r w:rsidR="244A1EE2" w:rsidRPr="008C17AC">
        <w:rPr>
          <w:rFonts w:ascii="Times New Roman" w:eastAsia="Times New Roman" w:hAnsi="Times New Roman" w:cs="Times New Roman"/>
        </w:rPr>
        <w:t>T</w:t>
      </w:r>
      <w:r w:rsidR="55CB0EAC" w:rsidRPr="008C17AC">
        <w:rPr>
          <w:rFonts w:ascii="Times New Roman" w:eastAsia="Times New Roman" w:hAnsi="Times New Roman" w:cs="Times New Roman"/>
        </w:rPr>
        <w:t xml:space="preserve">his design was often applied in studies that checked reporting status of studies or materials- and methods-sharing status of studies before and after a certain event, for instance a change in journal policy </w:t>
      </w:r>
      <w:r w:rsidR="5CFDD1A2" w:rsidRPr="008C17AC">
        <w:rPr>
          <w:rFonts w:ascii="Times New Roman" w:eastAsia="Times New Roman" w:hAnsi="Times New Roman" w:cs="Times New Roman"/>
        </w:rPr>
        <w:fldChar w:fldCharType="begin"/>
      </w:r>
      <w:r w:rsidR="5CFDD1A2" w:rsidRPr="008C17AC">
        <w:rPr>
          <w:rFonts w:ascii="Times New Roman" w:eastAsia="Times New Roman" w:hAnsi="Times New Roman" w:cs="Times New Roman"/>
        </w:rPr>
        <w:instrText xml:space="preserve"> ADDIN ZOTERO_ITEM CSL_CITATION {"citationID":"nua7WdCb","properties":{"formattedCitation":"[48,49,56,58,59,63,70,72,84,88,90,93,94,100,105,113,131]","plainCitation":"[48,49,56,58,59,63,70,72,84,88,90,93,94,100,105,113,131]","noteIndex":0},"citationItems":[{"id":29729,"uris":["http://zotero.org/groups/4983756/items/B2KKF53Q"],"itemData":{"id":29729,"type":"article-journal","abstract":"INTRODUCTION: The PROCESS guideline was developed in 2016 through expert Delphi consensus. It aimed to improve the quality of reporting of surgical case series. This study assessed the impact of the introduction of the PROCESS guideline on reporting for surgical case series submitted to three journals. METHODS: 20 case series published in the International Journal of Surgery Case Reports (IJSCR), the International Journal of Surgery (IJS) or the Annals of Medicine and Surgery (AMS) in September to December 2016, prior to the introduction of the PROCESS guideline (the pre-PROCESS period), were randomly identified and scored against the PROCESS criteria. Two authors independently scored each article a total score out of 29, the 'PROCESS score' (expressed as a percentage). Scores for the two researchers were compared and consensus was reached to achieve a final score set. The process was repeated for the January 2017 to April 2017 issues of the three journals, post PROCESS implementation (the post-PROCESS period). RESULTS: The mean PROCESS score was 80% (range 66-90%) for the pre-PROCESS period and 84% (range 72-95%) for the post-PROCESS period, a 4% relative increase [STATS]. The Cohen's Kappa score between researchers was 0.907 implying very substantial agreement. CONCLUSION: Implementation of the PROCESS guideline resulted in a 5% improvement in the reporting quality of surgical case series published in three journals. Further research is needed to identify and successfully navigate existing barriers to greater compliance. Authors, reviewers and editors should adhere to the guidelines to boost reporting quality. Journals should develop their policies and guide for authors to incorporate the guideline and mandate compliance.","container-title":"International Journal Of Surgery","DOI":"10.1016/j.ijsu.2017.07.079","ISSN":"1743-9159","page":"92-97","title":"Impact of the PROCESS guideline on the reporting of surgical case series: A before and after study","volume":"45","author":[{"literal":"Agha R A"},{"literal":"Borrelli M R"},{"literal":"Farwana R"},{"literal":"Kusu-Orkar T"},{"literal":"Millip M C"},{"literal":"Thavayogan R"},{"literal":"Garner J"},{"literal":"Darhouse N"},{"literal":"Orgill D P"}],"issued":{"date-parts":[["2017"]]}},"label":"page"},{"id":29727,"uris":["http://zotero.org/groups/4983756/items/L3DCK5IZ"],"itemData":{"id":29727,"type":"article-journal","abstract":"Background: Journals are an important conduit for the publication of research. However, the reporting quality of research has been shown to be lacking. We sought to determine if reporting quality could be improved by mandating compliance with the relevant reporting guidelines during the submission process to a single surgical journal. Method(s): The policy above was implemented in the International Journal of Surgery (IJS) in March 2013. This involved requiring all authors submitting observational studies, randomised controlled trials (RCTs) and systematic reviews to submit completed STROBE, CONSORT and PRISMA Statement checklists respectively along with their paper, making them available to the editor and peer-reviewers. Articles were analysed in three distinct periods from 2012 to 2014, before and after guideline implementation by two independent teams. Result(s): Our results show that overall STROBE compliance following implementation of the policy increased by a statistically significant 12% (68%-77%, p = 0.00018). Similarly CONSORT compliance increased (50%-70%) as did PRISMA compliance (48%-76%). The items that improved the most were those providing detail on study design, outcome definitions as well as measurement, how patients and quantitative variables were handled during the analyses and discussing limitations and detailing potential sources of bias. Conclusion(s): Implementing a policy mandating the submission of a completed reporting guideline checklist for observational studies, RCTs and systematic reviews can increase compliance. We advocate this measure for other journals and for other study types. Copyright © 2016 IJS Publishing Group Ltd.","container-title":"International Journal of Surgery","DOI":"10.1016/j.ijsu.2016.04.032","ISSN":"1743-9191 1743-9159","page":"169-172","title":"Impact of the mandatory implementation of reporting guidelines on reporting quality in a surgical journal: A before and after study","volume":"30","author":[{"literal":"Agha R A"},{"literal":"Fowler A J"},{"literal":"Limb C"},{"literal":"Whitehurst K"},{"literal":"Coe R"},{"literal":"Sagoo H"},{"literal":"Jafree D J"},{"literal":"Chandrakumar C"},{"literal":"Gundogan B"}],"issued":{"date-parts":[["2016"]]}},"label":"page"},{"id":29684,"uris":["http://zotero.org/groups/4983756/items/LP5Y58W5"],"itemData":{"id":29684,"type":"article-journal","abstract":"Importance: Clinical trial data sharing holds promise for maximizing the value of clinical research. The International Committee of Medical Journal Editors (ICMJE) adopted a policy promoting data sharing in July 2018. Objective: To evaluate the association of the ICMJE data sharing policy with data availability and reproducibility of main conclusions among leading surgical journals. Design, Setting, and Participants: This cross-sectional study, conducted in October 2021, examined randomized clinical trials (RCTs) in 10 leading surgical journals before and after the implementation of the ICMJE data sharing policy in July 2018. Exposure: Implementation of the ICMJE data sharing policy. Main Outcomes and Measures: To demonstrate a pre-post increase in data availability from 5% to 25% (alpha = .05; beta = 0.1), 65 RCTs published before and 65 RCTs published after the policy was issued were included, and their data were requested. The primary outcome was data availability (ie, the receipt of sufficient data to enable reanalysis of the primary outcome). When data sharing was available, the primary outcomes reported in the journal articles were reanalyzed to explore reproducibility. The reproducibility features of these studies were detailed. Results: Data were available for 2 of 65 RCTs (3.1%) published before the ICMJE policy and for 2 of 65 RCTs (3.1%) published after the policy was issued (odds ratio, 1.00; 95% CI, 0.07-14.19; P &gt; .99). A data sharing statement was observed in 11 of 65 RCTs (16.9%) published after the policy vs none before the policy (risk ratio, 2.20; 95% CI, 1.81-2.68; P = .001). Data obtained for reanalysis (n = 4) were not from RCTs published with a data sharing statement. Of the 4 RCTs with available data, all of them had primary outcomes that were fully reproduced. However, discrepancies or inaccuracies that were not associated with study conclusions were identified in 3 RCTs. These concerned the number of patients included in 1 RCT, the management of missing values in another RCT, and discrepant timing for the principal outcome declared in the study registration and reported in the third RCT. Conclusions and Relevance: This cross-sectional study suggests that data sharing practices are rare in surgical journals despite the ICMJE policy and that most RCTs published in these journals lack transparency. The results of these studies may not be reproducible by external researchers.","container-title":"JAMA Network Open","DOI":"10.1001/jamanetworkopen.2022.15209","ISSN":"2574-3805","issue":"6","page":"e2215209","title":"Data Sharing and Reanalyses Among Randomized Clinical Trials Published in Surgical Journals Before and After Adoption of a Data Availability and Reproducibility Policy","volume":"5","author":[{"literal":"Bergeat D"},{"literal":"Lombard N"},{"literal":"Gasmi A"},{"literal":"Le Floch B"},{"literal":"Naudet F"}],"issued":{"date-parts":[["2022"]]}},"label":"page"},{"id":29761,"uris":["http://zotero.org/groups/4983756/items/I97JABW6"],"itemData":{"id":29761,"type":"article-journal","abstract":"In February 2015, the editors of eight health economics journals sent out an editorial statement which aimed to reduce the extent of specification searching and reminds referees to accept studies that: 'have potential scientific and publication merit regardless of whether such studies' empirical findings do or do not reject null hypotheses'. Guided by a pre-analysis, we test whether the editorial statement decreased the extent of publication bias. Our differences-in-differences estimates suggest that the statement decreased the proportion of tests rejecting the null hypothesis by 18 percentage points. Our findings suggest that incentives may be aligned to promote more transparent research.","container-title":"Economic Journal","DOI":"10.1093/ej/ueaa011","ISSN":"0013-0133","issue":"629","page":"1226-1247","title":"Publication Bias and Editorial Statement on Negative Findings","volume":"130","author":[{"literal":"Blanco-Perez C"},{"literal":"Brodeur A"}],"issued":{"date-parts":[["2020"]]}},"label":"page"},{"id":29721,"uris":["http://zotero.org/groups/4983756/items/5YLZNVLF"],"itemData":{"id":29721,"type":"article-journal","abstract":"Background and objective: Randomised controlled trial (RCT) abstracts published in journal articles have traditionally been deficient of crucial information. To improve the quality of RCT abstracts, in January 2008, the Consolidated Standards of Reporting Trial (CONSORT) group published a checklist of essential information for inclusion. The current study assessed whether there has been an improvement in the quality of RCT abstracts published in main anaesthesia journals since this new guideline was introduced. Method(s): Articles involving human RCTs published in four highprofile anaesthesia journals (Anaesthesia, Anesthesia &amp; Analgesia, Anesthesiology and the European Journal of Anaesthesiology) were reviewed, comparing those published from October 2005 to September 2006 (pre-CONSORT abstracts) with those published from October 2008 to September 2009 (post-CONSORT abstracts). Trials involving healthy volunteers or cadavers, cost-effectiveness studies, meta-analyses and letters were excluded. Abstracts from remaining RCTs were randomly assigned to four reviewers in a blinded fashion and reviewed for content using the new CONSORT checklist. Result(s): In total, 527 RCT abstracts (pre-CONSORT RCTs, n=275 and post-CONSORT RCTs, n=252) were analysed. The majority of abstracts in both groups provided an appropriate description of study interventions (73.1 and 73.8%, pre-CONSORT abstracts versus post-CONSORT abstracts, respectively), objective (91.3 and 90.1%) and conclusions (72.4 and 66.3%). From pre-CONSORT to post-CONSORT guidelines for abstract reporting, there were significant improvements in correctly identifying blinding (18.2-29%) and harmful effects (31.6-42.1%). The improvement in reporting the nature of the trial in abstract titles (20.1-29%) and primary outcome measure in the methods section (22.9-30.6%) did not reach significance. There was no clear improvement in the already poor reporting of trial design, participants, randomisation, recruitment, outcomes, trial registration and funding sources. Conclusion(s): Despite some promising improvements and interjournal differences, the overall quality of RCT abstracts and adherence to the CONSORT checklist for abstracts remains poor. © 2011 European Society of Anaesthesiology.","container-title":"European Journal of Anaesthesiology","DOI":"10.1097/eja.0b013e32833fb96f","ISSN":"0265-0215 1365-2346","page":"485-492","title":"Has the quality of abstracts for randomised controlled trials improved since the release of Consolidated Standards of Reporting Trial guideline for abstract reporting? A survey of four high-profile anaesthesia journals","volume":"28(7)","author":[{"literal":"Can O S"},{"literal":"Yilmaz A A"},{"literal":"Hasdogan M"},{"literal":"Alkaya F"},{"literal":"Turhan S C"},{"literal":"Can M F"},{"literal":"Alanoglu Z"}],"issued":{"date-parts":[["2011"]]}},"label":"page"},{"id":29747,"uris":["http://zotero.org/groups/4983756/items/59UAV68D"],"itemData":{"id":29747,"type":"article-journal","abstract":"Methodological reporting guidelines for studies of ERPs were updated in Psychophysiology in 2014. These guidelines facilitate the communication of key methodological parameters (e.g., preprocessing steps). Failing to report key parameters represents a barrier to replication efforts, and difficulty with replicability increases in the presence of small sample sizes and low statistical power. We assessed whether guidelines are followed and estimated the average sample size and power in recent research. Reporting behavior, sample sizes, and statistical designs were coded for 150 randomly sampled articles from five high-impact journals that frequently published ERP research from 2011 to 2017. An average of 63% of guidelines were reported, and reporting behavior was similar across journals, suggesting that gaps in reporting is a shortcoming of the field rather than any specific journal. Publication of the guidelines article had no impact on reporting behavior, suggesting that editors and peer reviewers are not enforcing these recommendations. The average sample size per group was 21. Statistical power was conservatively estimated as .72-.98 for a large effect size, .35-.73 for a medium effect, and .10-.18 for a small effect. These findings indicate that failing to report key guidelines is ubiquitous and that ERP studies are primarily powered to detect large effects. Such low power and insufficient following of reporting guidelines represent substantial barriers to replication efforts. The methodological transparency and replicability of studies can be improved by the open sharing of processing code and experimental tasks and by a priori sample size calculations to ensure adequately powered studies.","container-title":"Psychophysiology","DOI":"10.1111/psyp.13437","ISSN":"1540-5958","issue":"11","page":"e13437","title":"Methodological reporting behavior, sample sizes, and statistical power in studies of event-related potentials: Barriers to reproducibility and replicability","volume":"56","author":[{"literal":"Clayson P E"},{"literal":"Carbine K A"},{"literal":"Baldwin S A"},{"literal":"Larson M J"}],"issued":{"date-parts":[["2019"]]}},"label":"page"},{"id":29749,"uris":["http://zotero.org/groups/4983756/items/UEIESEJ4"],"itemData":{"id":29749,"type":"article-journal","abstract":"OBJECTIVES: The amyotrophic lateral sclerosis (ALS) research community was one of the first to adopt methodology guidelines to improve preclinical research reproducibility. We here present the results of a systematic review to investigate how the standards in this field changed over the 10-year period during which the guidelines were first published (2007) and updated (2010). METHODS: We searched for papers reporting ALS research on SOD1 (superoxide dismutase 1) mice published between 2005 and 2015 on the ISI Web of Science database, resulting in a sample of 569 papers to review, after triage. Two scores-one for methodological quality, one for regulatory compliance-were built from weighted sums of separate sets of items, and subjected to multivariable regression analysis, to assess how these related to publication year, type of study, country of origin and journal. RESULTS: Reporting standards improved over time. Of papers published after the first ALS guidelines were made public, fewer than 9% referred specifically to these. Of key research parameters, only three (genetic background, number of transgenes and group size) were reported in &gt;50% of the papers. Information on housing conditions, randomisation and blinding was absent in over two-thirds of the papers. Group size was among the best reported parameters, but the majority reported using fewer than the recommended sample size and only two studies clearly justified group size. CONCLUSIONS: General methodological standards improved gradually over a period of 8-10 years, but remained generally comparable with related fields with no specific guidelines, except with regard to severity. Only 11% of ALS studies were classified in the highest severity level (animals allowed to reach death or moribund stages), substantially below the proportion in studies of comparable neurodegenerative diseases such as Huntington's. The existence of field-specific guidelines, although a welcome indication of concern, seems insufficient to ensure adherence to high methodological standards. Other mechanisms may be required to improve methodological and welfare standards.","container-title":"BMJ Open Science","DOI":"10.1136/bmjos-2018-000016","ISSN":"2398-8703","issue":"1","page":"e000016","title":"Methodological standards, quality of reporting and regulatory compliance in animal research on amyotrophic lateral sclerosis: a systematic review","volume":"3","author":[{"literal":"Fernandes J G"},{"literal":"Franco N H"},{"literal":"Grierson A J"},{"literal":"Hultgren J"},{"literal":"Furley A J. W"},{"literal":"Olsson I A. S"}],"issued":{"date-parts":[["2019"]]}},"label":"page"},{"id":29731,"uris":["http://zotero.org/groups/4983756/items/MPKI2HWP"],"itemData":{"id":29731,"type":"article-journal","abstract":"Objectives. We assessed how the Transparent Reporting of Evaluations with Nonrandomized Designs (TREND) reporting guideline was used by authors and journal editors in journals' instructions to authors. We also evaluated its impact on reporting completeness and study quality. Methods. We extracted data from publications that cited TREND on how TREND was used in those reports; we also extracted information on journals' instructions to authors. We then undertook a case-control study of relevant publications to evaluate the impact of using TREND. Results. Between 2004 and 2013, TREND was cited 412 times, but it was only evidently applied to study reports 47 times. TREND was specifically mentioned 14 times in the sample of 61 instructions to authors. Some evidence suggested that use of TREND was associated with more comprehensive reporting and higher study quality ratings. Conclusions. TREND appeared to be underutilized by authors and journal editors despite its potential application and benefits. We found evidence that suggested that using TREND could contribute to more transparent and complete study reports. Even when authors reported using TREND, reporting completeness was still suboptimal. © 2014, American Public Health Association Inc. All rights reserved.","container-title":"American Journal of Public Health","DOI":"10.2105/ajph.2014.302195","ISSN":"00900036 (ISSN)","issue":"11","page":"e110-e117","title":"Impact of the transparent reporting of evaluations with nonrandomized designs reporting guideline: Ten years on","volume":"104","author":[{"literal":"Fuller T"},{"literal":"Peters J"},{"literal":"Pearson M"},{"literal":"Anderson R"}],"issued":{"date-parts":[["2014"]]}},"label":"page"},{"id":29682,"uris":["http://zotero.org/groups/4983756/items/HS9HXUHT"],"itemData":{"id":29682,"type":"article-journal","abstract":"Access to data is a critical feature of an efficient, progressive and ultimately self-correcting scientific ecosystem. But the extent to which in-principle benefits of data sharing are realized in practice is unclear. Crucially, it is largely unknown whether published findings can be reproduced by repeating reported analyses upon shared data ('analytic reproducibility'). To investigate this, we conducted an observational evaluation of a mandatory open data policy introduced at the journal Cognition. Interrupted time-series analyses indicated a substantial post-policy increase in data available statements (104/417, 25% pre-policy to 136/174, 78% post-policy), although not all data appeared reusable (23/104, 22% pre-policy to 85/136, 62%, post-policy). For 35 of the articles determined to have reusable data, we attempted to reproduce 1324 target values. Ultimately, 64 values could not be reproduced within a 10% margin of error. For 22 articles all target values were reproduced, but 11 of these required author assistance. For 13 articles at least one value could not be reproduced despite author assistance. Importantly, there were no clear indications that original conclusions were seriously impacted. Mandatory open data policies can increase the frequency and quality of data sharing. However, suboptimal data curation, unclear analysis specification and reporting errors can impede analytic reproducibility, undermining the utility of data sharing and the credibility of scientific findings.","container-title":"Royal Society Open Science","DOI":"10.1098/rsos.180448","ISSN":"2054-5703","issue":"8","page":"180448","title":"Data availability, reusability, and analytic reproducibility: evaluating the impact of a mandatory open data policy at the journal Cognition","volume":"5","author":[{"literal":"Hardwicke T E"},{"literal":"Mathur M B"},{"literal":"MacDonald K"},{"literal":"Nilsonne G"},{"literal":"Banks G C"},{"literal":"Kidwell M C"},{"literal":"Hofelich Mohr"},{"literal":"A"},{"literal":"Clayton E"},{"literal":"Yoon E J"},{"literal":"Henry Tessler"},{"literal":"M"},{"literal":"Lenne R L"},{"literal":"Altman S"},{"literal":"Long B"},{"literal":"Frank M C"}],"issued":{"date-parts":[["2018"]]}},"label":"page"},{"id":29783,"uris":["http://zotero.org/groups/4983756/items/R7I5CAYC"],"itemData":{"id":29783,"type":"article-journal","abstract":"Background: The SQUIRE (Standards of QUality Improvement Reporting Excellence) guidelines were developed to improve the reporting of quality improvement (QI) projects. The effect of the guidelines on the completeness of reporting in the QI literature is unknown. Objective(s): Our primary objective was to determine if the completeness of reporting in the QI literature has been improved[OUP-CE13] since the introduction of the SQUIRE guidelines. Method(s): We performed a before-and-after evaluation of QI articles selected from four prominent journals of healthcare quality. Twentyfive articles published in each of two time periods (2006-2008 and 2010-2011) were confirmed to be QI projects using a standardised definition and were independently evaluated by two investigators as an interim evaluation of a planned larger sample. Articles were assessed using 50 statements of the SQUIRE guidelines, and the overall change in the completeness of reporting between the two groups was determined. The value of p&lt;0.05 was considered significant. Result(s): Both groups were similar in characteristics. There was no significant difference in the mean (SD) number of SQUIRE statements completed by authors before and after publication of the SQUIRE guidelines, 20.2 (5.0) versus 20.4 (7.0), p=0.9. The study was stopped early due to the absence of any significant trend in the completeness of reporting. Discussion(s): There was no overall improvement observed in the completeness of reporting of QI projects after the publication of the SQUIRE guidelines, and the study was stopped early. There is potential for improvement in reporting standards, particularly for those guideline items or statements specific to QI projects.","container-title":"BMJ Quality and Safety","DOI":"10.1136/bmjqs-2014-003737","ISSN":"2044-5415","page":"400-406","title":"The effect of the SQUIRE (Standards of QUality Improvement Reporting Excellence) guidelines on reporting standards in the quality Improvement literature: A before-and-after study","volume":"24(6)","author":[{"literal":"Howell V"},{"literal":"Schwartz A E"},{"literal":"O'Leary J D"},{"literal":"McDonnell C"}],"issued":{"date-parts":[["2015"]]}},"label":"page"},{"id":29664,"uris":["http://zotero.org/groups/4983756/items/YBH5PN9S"],"itemData":{"id":29664,"type":"article-journal","abstract":"Beginning January 2014, Psychological Science gave authors the opportunity to signal open data and materials if they qualified for badges that accompanied published articles. Before badges, less than 3% of Psychological Science articles reported open data. After badges, 23% reported open data, with an accelerating trend; 39% reported open data in the first half of 2015, an increase of more than an order of magnitude from baseline. There was no change over time in the low rates of data sharing among comparison journals. Moreover, reporting openness does not guarantee openness. When badges were earned, reportedly available data were more likely to be actually available, correct, usable, and complete than when badges were not earned. Open materials also increased to a weaker degree, and there was more variability among comparison journals. Badges are simple, effective signals to promote open practices and improve preservation of data and materials by using independent repositories. Copyright © 2016 Kidwell et al.","container-title":"PLoS Biology","DOI":"10.1371/journal.pbio.1002456","ISSN":"1544-9173 1545-7885","page":"e1002456","title":"Badges to Acknowledge Open Practices: A Simple, Low-Cost, Effective Method for Increasing Transparency","volume":"14(5) (no pagination)","author":[{"literal":"Kidwell M C"},{"literal":"Lazarevic L B"},{"literal":"Baranski E"},{"literal":"Hardwicke T E"},{"literal":"Piechowski S"},{"literal":"Falkenberg L S"},{"literal":"Kennett C"},{"literal":"Slowik A"},{"literal":"Sonnleitner C"},{"literal":"Hess-Holden C"},{"literal":"Errington T M"},{"literal":"Fiedler S"},{"literal":"Nosek B A"}],"issued":{"date-parts":[["2016"]]}},"label":"page"},{"id":29771,"uris":["http://zotero.org/groups/4983756/items/V2WB6YWA"],"itemData":{"id":29771,"type":"article-journal","abstract":"In 2019 the Journal of Memory and Language instituted an open data and code policy; this policy requires that, as a rule, code and data be released at the latest upon publication. How effective is this policy? We compared 59 papers published before, and 59 papers published after, the policy took effect. After the policy was in place, the rate of data sharing increased by more than 50%. We further looked at whether papers published under the open data policy were reproducible, in the sense that the published results should be possible to regenerate given the data, and given the code, when code was provided. For 8 out of the 59 papers, data sets were inaccessible. The reproducibility rate ranged from 34% to 56%, depending on the reproducibility criteria. The strongest predictor of whether an attempt to reproduce would be successful is the presence of the analysis code: it increases the probability of reproducing reported results by almost 40%. We propose two simple steps that can increase the reproducibility of published papers: share the analysis code, and attempt to reproduce one's own analysis using only the shared materials. © 2022 The Author(s)","container-title":"Journal of Memory and Language","DOI":"10.1016/j.jml.2022.104332","ISSN":"0749596X (ISSN)","page":"104332","title":"Share the code, not just the data: A case study of the reproducibility of articles published in the Journal of Memory and Language under the open data policy","volume":"125","author":[{"literal":"Laurinavichyute A"},{"literal":"Yadav H"},{"literal":"Vasishth S"}],"issued":{"date-parts":[["2022"]]}},"label":"page"},{"id":29733,"uris":["http://zotero.org/groups/4983756/items/K4XP4RS8"],"itemData":{"id":29733,"type":"article-journal","abstract":"PURPOSE: Research papers involving animal studies often display poor reporting standards, leading to lower study reproducibility. We aim to determine the difference in reporting animal studies regarding abdominal wall hernia repair with mesh placement, before and after the publication of ARRIVE-2010 (Animal Research: Reporting of In Vivo Experiments) guidelines. Furthermore, we aim to present the most up-to-date reporting quality using the updated ARRIVE-2020 as criteria. METHODS: All animal studies concerning hernia repair with meshes were systematically searched. Articles published in the 5 years leading up to the ARRIVE-2010 (pre-ARRIVE) and articles within the last 5 years until the updated ARRIVE 2.0 (post-ARRIVE) were compared for overall species and specific species separately. Articles published last year were evaluated for presenting fully reported (sub)items. RESULTS: The number of fully reported (sub)items per article was on average significantly higher for pre-ARRIVE than post-ARRIVE for overall species (mean (SD) = 14.0 (2.8) vs. 12.6 (2.5), P &lt; 0.001). The same applies to rabbit (mean (SD) = 14.8 (2.6) vs. 12.6 (2.6), P = 0.001) and pig studies (mean (SD) = 14.5 (2.7) vs. 11.6 (2.6), P = 0.004), with no significance in rat studies (mean (SD) = 13.6 (2.9) vs. 12.9 (2.3), P = 0.076). Significance was found in several (sub)items between pre-ARRIVE and post-ARRIVE (n = 7, 3, 8, and 3 for overall species, rat, rabbit, and pig studies, respectively). CONCLUSION: General reporting quality of animal experiments has been improved markedly by ARRIVE guidelines. However, more improvements are required considering the arrival of ARRIVE 2.0 guidelines.","container-title":"Hernia","DOI":"10.1007/s10029-020-02351-y","ISSN":"1248-9204","issue":"2","page":"389-400","title":"Inadequate awareness of adherence to ARRIVE guidelines, regarding reporting quality of hernia models repaired with meshes: a systematic review","volume":"26","author":[{"literal":"Liu H"},{"literal":"Gielen Mjcam"},{"literal":"Bosmans Jwam"},{"literal":"Winkens B"},{"literal":"Bouvy N D"}],"issued":{"date-parts":[["2022"]]}},"label":"page"},{"id":29668,"uris":["http://zotero.org/groups/4983756/items/YNLBA3NU"],"itemData":{"id":29668,"type":"article-journal","abstract":"A substantial fraction of biomedical research depends on the reliability of human biospecimens but variations in sample manipulation during collection, processing, and storage can differentially alter molecular integrity and influence interpretation of the resulting derived data. Details of biobanking processes are rarely adequately described in research publications, preventing reviewers, readers, and scientists seeking to replicate the findings, from appreciating and adequately considering preanalytical variations contributing to results. To address these shortcomings, a set of reporting guidelines, the Biospecimen Reporting for Improved Study Quality (BRISQ) criteria, were developed in 2011. In this study we evaluated the uptake and reporting of BRISQ criteria in 324 articles across four leading biomedical journals using human biospecimens and published before (161; in 2010) and after (163; in 2014) the delineation of the BRISQ guidelines. We found that even within journals recommending use of BRISQ, manuscript-level uptake. and reporting of the relevant biospecimen information is not widespread or uniform. In the future, an enhanced biospecimen reporting strategy to better serve the needs of researchers, reviewers, and journals may be considered to strengthen research reproducibility for the benefit of the research community at large.","container-title":"Biopreservation and Biobanking","DOI":"10.1089/bio.2018.0143","ISSN":"1947-5543","issue":"4","page":"326-333","title":"Biospecimen Data Reporting in the Research Literature","volume":"17","author":[{"literal":"Meredith A J"},{"literal":"Simeon-Dubach D"},{"literal":"Matzke L A"},{"literal":"Cheah S"},{"literal":"Watson P H"}],"issued":{"date-parts":[["2019"]]}},"label":"page"},{"id":29741,"uris":["http://zotero.org/groups/4983756/items/RZS8MYZ9"],"itemData":{"id":29741,"type":"article-journal","abstract":"In this paper, we present three retrospective observational studies that investigate the relation between data sharing and statistical reporting inconsistencies. Previous research found that reluctance to share data was related to a higher prevalence of statistical errors, often in the direction of statistical significance (Wicherts, Bakker, &amp; Molenaar, 2011). We therefore hypothesized that journal policies about data sharing and data sharing itself would reduce these inconsistencies. In Study 1, we compared the prevalence of reporting inconsistencies in two similar journals on decision making with different data sharing policies. In Study 2, we compared reporting inconsistencies in psychology articles published in PLOS journals (with a data sharing policy) and Frontiers in Psychology (without a stipulated data sharing policy). In Study 3, we looked at papers published in the journal Psychological Science to check whether papers with or without an Open Practice Badge differed in the prevalence of reporting errors. Overall, we found no relationship between data sharing and reporting inconsistencies. We did find that journal policies on data sharing seem extremely effective in promoting data sharing. We argue that open data is essential in improving the quality of psychological science, and we discuss ways to detect and reduce reporting inconsistencies in the literature. © 2017 The Author(s).","container-title":"Collabra: Psychology","DOI":"10.1525/collabra.102","ISSN":"24747394 (ISSN)","issue":"1","page":"31","title":"Journal data sharing policies and statistical reporting inconsistencies in psychology","volume":"3","author":[{"literal":"Nuijten M B"},{"literal":"Borghuis J"},{"literal":"Veldkamp C L. S"},{"literal":"Dominguez-Alvarez L"},{"literal":"Van Assen M A. L. M"},{"literal":"Wicherts J M"}],"issued":{"date-parts":[["2017"]]}},"label":"page"},{"id":29662,"uris":["http://zotero.org/groups/4983756/items/24EB9KQA"],"itemData":{"id":29662,"type":"article-journal","abstract":"&lt;b&gt;Background&lt;/b&gt;: Reproducible research includes sharing data and code. The reproducibility policy at the journal Biostatistics rewards articles with badges for data and code sharing. This study investigates the effect of badges at increasing reproducible research, specifically, data and code sharing, at Biostatistics. &lt;b&gt;Methods&lt;/b&gt;: The setting of this observational study is the Biostatistics and Statistics in Medicine (control journal) online research archives. The data consisted of 240 randomly sampled articles from 2006 to 2013 (30 articles per year) per journal, a total sample of 480 articles. Data analyses included: plotting probability of data and code sharing by article submission date, and Bayesian logistic regression modelling to test for a difference in the probability of making data and code available after the introduction of badges at Biostatistics. &lt;b&gt;Results&lt;/b&gt;: The probability of data sharing was higher at Biostatistics than the control journal but the probability of code sharing was comparable for both journals. The probability of data sharing increased by 3.5 times (95% credible interval: 1.4 to 7.4 times, p-value probability that sharing increased: 0.996) after badges were introduced at Biostatistics. On an absolute scale, however, this difference was only a 7.3% increase in data sharing (95% CI: 2 to 14%, p-value: 0.996). Badges did not have an impact on code sharing at the journal (mean increase: 1.1 times, 95% credible interval: 0.45 to 2.14 times, p-value probability that sharing increased: 0.549). &lt;b&gt;Conclusions:&lt;/b&gt; The effect of badges at Biostatistics was a 7.3% increase in the data sharing rate, 5 times less than the effect of badges on data sharing at Psychological Science (37.9% badge effect). Though the effect of badges at Biostatistics did not impact code sharing, and was associated with only a moderate effect on data sharing, badges are an interesting step that journals are taking to incentivise and promote reproducible research.","container-title":"F1000Research","DOI":"10.12688/f1000research.13477.2","ISSN":"2046-1402","page":"90","title":"Badges for sharing data and code at Biostatistics: an observational study","volume":"7","author":[{"literal":"Rowhani-Farid A"},{"literal":"Barnett A G"}],"issued":{"date-parts":[["2018"]]}},"label":"page"},{"id":29702,"uris":["http://zotero.org/groups/4983756/items/Z25DX3F6"],"itemData":{"id":29702,"type":"article-journal","abstract":"BACKGROUND: The Preferred Reporting Items for Systematic Reviews and Meta-Analyses (PRISMA) extension statement for network meta-analysis (NMA) published in 2015 promotes comprehensive reporting in published systematic reviews with NMA. PRISMA-NMA includes 32 items: 27 core items as indicated in the 2009 PRISMA Statement and five items specific to the reporting of NMAs. Although NMA reporting is improving, it is unclear whether PRISMA-NMA has accelerated this improvement. We aimed to investigate the impact of PRISMA-NMA and highlight key items that require attention and improvement. METHODS: We updated our previous collection of NMAs with articles published between April 2015 and July 2018. We assessed the completeness of reporting for each NMA, including main manuscript and online supplements, using the PRISMA-NMA checklist. The PRISMA-NMA checklist originally includes 32 total items (i.e. a 32-point scale original PRISMA-NMA score). We also prepared a modified version of the PRISMA-NMA checklist with 49 items to evaluate separately at a more granular level all multiple-content items (i.e. a 49-point scale modified PRISMA-NMA score). We compared average reporting scores of articles published until and after 2015. RESULTS: In the 1144 included NMAs the mean modified PRISMA-NMA score was 32.1 (95% CI 31.8-32.4) of a possible 49-excellence-score. For 1-year increase, the mean modified score increased by 0.96 (95% CI 0.32 to 1.59) for 389 NMAs published until 2015 and by 0.53 (95% CI 0.02 to 1.04) for 755 NMAs published after 2015. The mean modified PRISMA-NMA score for NMAs published after 2015 was higher by 0.81 (95% CI 0.23 to 1.39) compared to before 2015 when adjusting for journal impact factor, type of review, funding, and treatment category. Description of summary effect sizes to be used, presentation of individual study data, sources of funding for the systematic review, and role of funders dropped in frequency after 2015 by 6-16%. CONCLUSIONS: NMAs published after 2015 more frequently reported the five items associated with NMA compared to those published until 2015. However, improvement in reporting after 2015 is compatible with that observed on a yearly basis until 2015, and hence, it could not be attributed solely to the publication of the PRISMA-NMA.","container-title":"Systematic Reviews","DOI":"10.1186/s13643-021-01780-9","ISSN":"2046-4053","issue":"1","page":"246","title":"Do reporting guidelines have an impact? Empirical assessment of changes in reporting before and after the PRISMA extension statement for network meta-analysis","volume":"10","author":[{"literal":"Veroniki A A"},{"literal":"Tsokani S"},{"literal":"Zevgiti S"},{"literal":"Pagkalidou I"},{"literal":"Kontouli K M"},{"literal":"Ambarcioglu P"},{"literal":"Pandis N"},{"literal":"Lunny C"},{"literal":"Nikolakopoulou A"},{"literal":"Papakonstantinou T"},{"literal":"Chaimani A"},{"literal":"Straus S E"},{"literal":"Hutton B"},{"literal":"Tricco A C"},{"literal":"Mavridis D"},{"literal":"Salanti G"}],"issued":{"date-parts":[["2021"]]}},"label":"page"}],"schema":"https://github.com/citation-style-language/schema/raw/master/csl-citation.json"} </w:instrText>
      </w:r>
      <w:r w:rsidR="5CFDD1A2" w:rsidRPr="008C17AC">
        <w:rPr>
          <w:rFonts w:ascii="Times New Roman" w:eastAsia="Times New Roman" w:hAnsi="Times New Roman" w:cs="Times New Roman"/>
        </w:rPr>
        <w:fldChar w:fldCharType="separate"/>
      </w:r>
      <w:r w:rsidR="55CB0EAC" w:rsidRPr="008C17AC">
        <w:rPr>
          <w:rFonts w:ascii="Times New Roman" w:hAnsi="Times New Roman" w:cs="Times New Roman"/>
        </w:rPr>
        <w:t>[48,49,56,58,59,63,70,72,84,88,90,93,94,100,105,113,131]</w:t>
      </w:r>
      <w:r w:rsidR="5CFDD1A2" w:rsidRPr="008C17AC">
        <w:rPr>
          <w:rFonts w:ascii="Times New Roman" w:eastAsia="Times New Roman" w:hAnsi="Times New Roman" w:cs="Times New Roman"/>
        </w:rPr>
        <w:fldChar w:fldCharType="end"/>
      </w:r>
      <w:r w:rsidR="55CB0EAC" w:rsidRPr="008C17AC">
        <w:rPr>
          <w:rFonts w:ascii="Times New Roman" w:eastAsia="Times New Roman" w:hAnsi="Times New Roman" w:cs="Times New Roman"/>
        </w:rPr>
        <w:t xml:space="preserve">. </w:t>
      </w:r>
    </w:p>
    <w:p w14:paraId="4B98FAE0" w14:textId="0BA2713F" w:rsidR="765E155D" w:rsidRPr="008C17AC" w:rsidRDefault="45B67974" w:rsidP="1A6C9FDE">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u w:val="single"/>
        </w:rPr>
        <w:t>Comparative between-subject design, n</w:t>
      </w:r>
      <w:r w:rsidR="3C17DF39" w:rsidRPr="008C17AC">
        <w:rPr>
          <w:rFonts w:ascii="Times New Roman" w:eastAsia="Times New Roman" w:hAnsi="Times New Roman" w:cs="Times New Roman"/>
          <w:u w:val="single"/>
        </w:rPr>
        <w:t>on-randomized experimental</w:t>
      </w:r>
      <w:r w:rsidR="0CEA6483" w:rsidRPr="008C17AC">
        <w:rPr>
          <w:rFonts w:ascii="Times New Roman" w:eastAsia="Times New Roman" w:hAnsi="Times New Roman" w:cs="Times New Roman"/>
          <w:u w:val="single"/>
        </w:rPr>
        <w:t xml:space="preserve"> (n=1)</w:t>
      </w:r>
      <w:r w:rsidR="3C17DF39" w:rsidRPr="008C17AC">
        <w:rPr>
          <w:rFonts w:ascii="Times New Roman" w:eastAsia="Times New Roman" w:hAnsi="Times New Roman" w:cs="Times New Roman"/>
          <w:u w:val="single"/>
        </w:rPr>
        <w:t>:</w:t>
      </w:r>
      <w:r w:rsidR="3C17DF39" w:rsidRPr="008C17AC">
        <w:rPr>
          <w:rFonts w:ascii="Times New Roman" w:eastAsia="Times New Roman" w:hAnsi="Times New Roman" w:cs="Times New Roman"/>
        </w:rPr>
        <w:t xml:space="preserve"> </w:t>
      </w:r>
      <w:r w:rsidR="7BB9BEE0" w:rsidRPr="008C17AC">
        <w:rPr>
          <w:rFonts w:ascii="Times New Roman" w:eastAsia="Times New Roman" w:hAnsi="Times New Roman" w:cs="Times New Roman"/>
        </w:rPr>
        <w:t>O</w:t>
      </w:r>
      <w:r w:rsidR="3C17DF39" w:rsidRPr="008C17AC">
        <w:rPr>
          <w:rFonts w:ascii="Times New Roman" w:eastAsia="Times New Roman" w:hAnsi="Times New Roman" w:cs="Times New Roman"/>
        </w:rPr>
        <w:t xml:space="preserve">ne study </w:t>
      </w:r>
      <w:r w:rsidR="5CFDD1A2" w:rsidRPr="008C17AC">
        <w:rPr>
          <w:rFonts w:ascii="Times New Roman" w:eastAsia="Times New Roman" w:hAnsi="Times New Roman" w:cs="Times New Roman"/>
        </w:rPr>
        <w:fldChar w:fldCharType="begin"/>
      </w:r>
      <w:r w:rsidR="5CFDD1A2" w:rsidRPr="008C17AC">
        <w:rPr>
          <w:rFonts w:ascii="Times New Roman" w:eastAsia="Times New Roman" w:hAnsi="Times New Roman" w:cs="Times New Roman"/>
        </w:rPr>
        <w:instrText xml:space="preserve"> ADDIN ZOTERO_ITEM CSL_CITATION {"citationID":"wcL7dLOF","properties":{"formattedCitation":"[125]","plainCitation":"[125]","noteIndex":0},"citationItems":[{"id":29717,"uris":["http://zotero.org/groups/4983756/items/H39E3DNR"],"itemData":{"id":29717,"type":"article-journal","abstract":"Background: Th EQUATOR Network improves the quality and transparency in health research, primarily by promoting awareness and use of reporting guidelines. In 2018, the UK EQUATOR Centre launched GoodReports.org, a website that helps authors find and use reporting guidelines. This paper describes the tool’s development so far. We describe user experience and behaviour of using GoodReports.org both inside and outside a journal manuscript submission process. We intend to use our findings to inform future development and testing of the tool. Methods: We conducted a survey to collect data on user experience of the GoodReports website. We cross-checked a random sample of 100 manuscripts submitted to a partner journal to describe the level of agreement between the tool’s checklist recommendation and what we would have recommended. We compared the proportion of authors submitting a completed reporting checklist alongside their manuscripts between groups exposed or not exposed to the GoodReports tool. We also conducted a study comparing completeness of reporting of manuscript text before an author received a reporting guideline recommendation from GoodReports.org with the completeness of the text subsequently submitted to a partner journal. Results: Seventy percent (423/599) of survey respondents rated GoodReports 8 or more out of 10 for usefulness, and 74% (198/267) said they had made changes to their manuscript after using the website. We agreed with the GoodReports reporting guideline recommendation in 84% (72/86) of cases. Of authors who completed the guideline finder questionnaire, 14% (10/69) failed to submit a completed checklist compared to 30% (41/136) who did not use the tool. Of the 69 authors who received a GoodReports reporting guideline recommendation, 20 manuscript pairs could be reviewed before and after use of GoodReports. Five included more information in their methods section after exposure to GoodReports. On average, authors reported 57% of necessary reporting items before completing a checklist on GoodReports.org and 60% after. Conclusion: The data suggest that reporting guidance is needed early in the writing process, not at submission stage. We are developing GoodReports by adding more reporting guidelines and by creating editable article templates. We will test whether GoodReports users write more complete study reports in a randomised trial targeting researchers starting to write health research articles. © 2021, The Author(s).","container-title":"BMC Medical Research Methodology","DOI":"10.1186/s12874-021-01402-x","ISSN":"14712288 (ISSN)","issue":"1","page":"217","title":"GoodReports: developing a website to help health researchers find and use reporting guidelines","volume":"21","author":[{"literal":"Struthers C"},{"literal":"Harwood J"},{"literal":"de Beyer J A"},{"literal":"Dhiman P"},{"literal":"Logullo P"},{"literal":"Schlüssel M"}],"issued":{"date-parts":[["2021"]]}}}],"schema":"https://github.com/citation-style-language/schema/raw/master/csl-citation.json"} </w:instrText>
      </w:r>
      <w:r w:rsidR="5CFDD1A2" w:rsidRPr="008C17AC">
        <w:rPr>
          <w:rFonts w:ascii="Times New Roman" w:eastAsia="Times New Roman" w:hAnsi="Times New Roman" w:cs="Times New Roman"/>
        </w:rPr>
        <w:fldChar w:fldCharType="separate"/>
      </w:r>
      <w:r w:rsidR="6F4E8099" w:rsidRPr="008C17AC">
        <w:rPr>
          <w:rFonts w:ascii="Times New Roman" w:hAnsi="Times New Roman" w:cs="Times New Roman"/>
        </w:rPr>
        <w:t>[125]</w:t>
      </w:r>
      <w:r w:rsidR="5CFDD1A2" w:rsidRPr="008C17AC">
        <w:rPr>
          <w:rFonts w:ascii="Times New Roman" w:eastAsia="Times New Roman" w:hAnsi="Times New Roman" w:cs="Times New Roman"/>
        </w:rPr>
        <w:fldChar w:fldCharType="end"/>
      </w:r>
      <w:r w:rsidR="2EB937A2" w:rsidRPr="008C17AC">
        <w:rPr>
          <w:rFonts w:ascii="Times New Roman" w:eastAsia="Times New Roman" w:hAnsi="Times New Roman" w:cs="Times New Roman"/>
        </w:rPr>
        <w:t xml:space="preserve"> </w:t>
      </w:r>
      <w:r w:rsidR="3C17DF39" w:rsidRPr="008C17AC">
        <w:rPr>
          <w:rFonts w:ascii="Times New Roman" w:eastAsia="Times New Roman" w:hAnsi="Times New Roman" w:cs="Times New Roman"/>
        </w:rPr>
        <w:t xml:space="preserve">experimented with a tool to help authors to adhere to writing guidelines. The authors could choose themselves whether they would use the tool or not. </w:t>
      </w:r>
    </w:p>
    <w:p w14:paraId="53E73562" w14:textId="5AB169E0" w:rsidR="765E155D" w:rsidRPr="008C17AC" w:rsidRDefault="028C7B62" w:rsidP="1A6C9FDE">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u w:val="single"/>
        </w:rPr>
        <w:t xml:space="preserve">Comparative </w:t>
      </w:r>
      <w:r w:rsidR="41EB85F1" w:rsidRPr="008C17AC">
        <w:rPr>
          <w:rFonts w:ascii="Times New Roman" w:eastAsia="Times New Roman" w:hAnsi="Times New Roman" w:cs="Times New Roman"/>
          <w:u w:val="single"/>
        </w:rPr>
        <w:t>within-subject design</w:t>
      </w:r>
      <w:r w:rsidR="7BA768A4" w:rsidRPr="008C17AC">
        <w:rPr>
          <w:rFonts w:ascii="Times New Roman" w:eastAsia="Times New Roman" w:hAnsi="Times New Roman" w:cs="Times New Roman"/>
          <w:u w:val="single"/>
        </w:rPr>
        <w:t xml:space="preserve"> (n=</w:t>
      </w:r>
      <w:r w:rsidR="03ADD571" w:rsidRPr="008C17AC">
        <w:rPr>
          <w:rFonts w:ascii="Times New Roman" w:eastAsia="Times New Roman" w:hAnsi="Times New Roman" w:cs="Times New Roman"/>
          <w:u w:val="single"/>
        </w:rPr>
        <w:t>7</w:t>
      </w:r>
      <w:r w:rsidR="7BA768A4" w:rsidRPr="008C17AC">
        <w:rPr>
          <w:rFonts w:ascii="Times New Roman" w:eastAsia="Times New Roman" w:hAnsi="Times New Roman" w:cs="Times New Roman"/>
          <w:u w:val="single"/>
        </w:rPr>
        <w:t xml:space="preserve"> studies)</w:t>
      </w:r>
      <w:r w:rsidR="41EB85F1" w:rsidRPr="008C17AC">
        <w:rPr>
          <w:rFonts w:ascii="Times New Roman" w:eastAsia="Times New Roman" w:hAnsi="Times New Roman" w:cs="Times New Roman"/>
          <w:u w:val="single"/>
        </w:rPr>
        <w:t>:</w:t>
      </w:r>
      <w:r w:rsidR="41EB85F1" w:rsidRPr="008C17AC">
        <w:rPr>
          <w:rFonts w:ascii="Times New Roman" w:eastAsia="Times New Roman" w:hAnsi="Times New Roman" w:cs="Times New Roman"/>
        </w:rPr>
        <w:t xml:space="preserve"> These </w:t>
      </w:r>
      <w:r w:rsidR="72B7D55D" w:rsidRPr="008C17AC">
        <w:rPr>
          <w:rFonts w:ascii="Times New Roman" w:eastAsia="Times New Roman" w:hAnsi="Times New Roman" w:cs="Times New Roman"/>
        </w:rPr>
        <w:t>s</w:t>
      </w:r>
      <w:r w:rsidR="0510E759" w:rsidRPr="008C17AC">
        <w:rPr>
          <w:rFonts w:ascii="Times New Roman" w:eastAsia="Times New Roman" w:hAnsi="Times New Roman" w:cs="Times New Roman"/>
        </w:rPr>
        <w:t>even</w:t>
      </w:r>
      <w:r w:rsidR="72B7D55D" w:rsidRPr="008C17AC">
        <w:rPr>
          <w:rFonts w:ascii="Times New Roman" w:eastAsia="Times New Roman" w:hAnsi="Times New Roman" w:cs="Times New Roman"/>
        </w:rPr>
        <w:t xml:space="preserve"> </w:t>
      </w:r>
      <w:r w:rsidR="41EB85F1" w:rsidRPr="008C17AC">
        <w:rPr>
          <w:rFonts w:ascii="Times New Roman" w:eastAsia="Times New Roman" w:hAnsi="Times New Roman" w:cs="Times New Roman"/>
        </w:rPr>
        <w:t xml:space="preserve">studies </w:t>
      </w:r>
      <w:r w:rsidR="72B7D55D" w:rsidRPr="008C17AC">
        <w:rPr>
          <w:rFonts w:ascii="Times New Roman" w:eastAsia="Times New Roman" w:hAnsi="Times New Roman" w:cs="Times New Roman"/>
        </w:rPr>
        <w:t xml:space="preserve">issued a variety of designs, from measuring behavioural changes after a workshop </w:t>
      </w:r>
      <w:r w:rsidR="729F0908" w:rsidRPr="008C17AC">
        <w:rPr>
          <w:rFonts w:ascii="Times New Roman" w:eastAsia="Times New Roman" w:hAnsi="Times New Roman" w:cs="Times New Roman"/>
        </w:rPr>
        <w:fldChar w:fldCharType="begin"/>
      </w:r>
      <w:r w:rsidR="729F0908" w:rsidRPr="008C17AC">
        <w:rPr>
          <w:rFonts w:ascii="Times New Roman" w:eastAsia="Times New Roman" w:hAnsi="Times New Roman" w:cs="Times New Roman"/>
        </w:rPr>
        <w:instrText xml:space="preserve"> ADDIN ZOTERO_ITEM CSL_CITATION {"citationID":"pefmmhhv","properties":{"formattedCitation":"[68]","plainCitation":"[68]","noteIndex":0},"citationItems":[{"id":29654,"uris":["http://zotero.org/groups/4983756/items/85QMFA8N"],"itemData":{"id":29654,"type":"article-journal","abstract":"INTRODUCTION: As biomedical research becomes more data-intensive, computational reproducibility is a growing area of importance. Unfortunately, many biomedical researchers have not received formal computational training and often struggle to produce results that can be reproduced using the same data, code, and methods. Programming workshops can be a tool to teach new computational methods, but it is not always clear whether researchers are able to use their new skills to make their work more computationally reproducible. METHODS: This mixed methods study consisted of in-depth interviews with 14 biomedical researchers before and after participation in an introductory programming workshop. During the interviews, participants described their research workflows and responded to a quantitative checklist measuring reproducible behaviors. The interview data was analyzed using a thematic analysis approach, and the pre and post workshop checklist scores were compared to assess the impact of the workshop on the computational reproducibility of the researchers' workflows. RESULTS: Pre and post scores on a checklist of reproducible behaviors did not change in a statistically significant manner. The qualitative interviews revealed that several participants had made small changes to their workflows including switching to open source programming languages for their data cleaning, analysis, and visualization. Overall many of the participants indicated higher levels of programming literacy, and an interest in further training. Factors that enabled change included supportive environments and an immediate research need, while barriers included collaborators that were resistant to new tools, and a lack of time. CONCLUSION: While none of the workshop participants completely changed their workflows, many of them did incorporate new practices, tools, or methods that helped make their work more reproducible and transparent to other researchers. This indicates that programming workshops now offered by libraries and other organizations contribute to computational reproducibility training for researchers.","container-title":"PLoS ONE [Electronic Resource]","DOI":"10.1371/journal.pone.0230697","ISSN":"1932-6203","issue":"7","page":"e0230697","title":"Assessing the impact of introductory programming workshops on the computational reproducibility of biomedical workflows","volume":"15","author":[{"literal":"Deardorff A"}],"issued":{"date-parts":[["2020"]]}}}],"schema":"https://github.com/citation-style-language/schema/raw/master/csl-citation.json"} </w:instrText>
      </w:r>
      <w:r w:rsidR="729F0908" w:rsidRPr="008C17AC">
        <w:rPr>
          <w:rFonts w:ascii="Times New Roman" w:eastAsia="Times New Roman" w:hAnsi="Times New Roman" w:cs="Times New Roman"/>
        </w:rPr>
        <w:fldChar w:fldCharType="separate"/>
      </w:r>
      <w:r w:rsidR="3A539698" w:rsidRPr="008C17AC">
        <w:rPr>
          <w:rFonts w:ascii="Times New Roman" w:hAnsi="Times New Roman" w:cs="Times New Roman"/>
        </w:rPr>
        <w:t>[68]</w:t>
      </w:r>
      <w:r w:rsidR="729F0908" w:rsidRPr="008C17AC">
        <w:rPr>
          <w:rFonts w:ascii="Times New Roman" w:eastAsia="Times New Roman" w:hAnsi="Times New Roman" w:cs="Times New Roman"/>
        </w:rPr>
        <w:fldChar w:fldCharType="end"/>
      </w:r>
      <w:r w:rsidR="72B7D55D" w:rsidRPr="008C17AC">
        <w:rPr>
          <w:rFonts w:ascii="Times New Roman" w:eastAsia="Times New Roman" w:hAnsi="Times New Roman" w:cs="Times New Roman"/>
        </w:rPr>
        <w:t xml:space="preserve"> and standardization within one institute </w:t>
      </w:r>
      <w:r w:rsidR="729F0908" w:rsidRPr="008C17AC">
        <w:rPr>
          <w:rFonts w:ascii="Times New Roman" w:eastAsia="Times New Roman" w:hAnsi="Times New Roman" w:cs="Times New Roman"/>
        </w:rPr>
        <w:fldChar w:fldCharType="begin"/>
      </w:r>
      <w:r w:rsidR="729F0908" w:rsidRPr="008C17AC">
        <w:rPr>
          <w:rFonts w:ascii="Times New Roman" w:eastAsia="Times New Roman" w:hAnsi="Times New Roman" w:cs="Times New Roman"/>
        </w:rPr>
        <w:instrText xml:space="preserve"> ADDIN ZOTERO_ITEM CSL_CITATION {"citationID":"qSJpf8ZA","properties":{"formattedCitation":"[118]","plainCitation":"[118]","noteIndex":0},"citationItems":[{"id":29795,"uris":["http://zotero.org/groups/4983756/items/64UMKTSE"],"itemData":{"id":29795,"type":"article-journal","abstract":"Untargeted lipidomics allows analysis of a broader range of lipids than targeted methods and permits discovery of unknown compounds. Previous ring trials have evaluated the reproducibility of targeted lipidomics methods, but inter-laboratory comparison of compound identification and unknown feature detection in untargeted lipidomics has not been attempted. To address this gap, five laboratories analyzed a set of mammalian tissue and biofluid reference samples using both their own untargeted lipidomics procedures and a common chromatographic and data analysis method. While both methods yielded informative data, the common method improved chromatographic reproducibility and resulted in detection of more shared features between labs. Spectral search against the LipidBlast in silico library enabled identification of over 2,000 unique lipids. Further examination of LC-MS/MS and ion mobility data, aided by hybrid search and spectral networking analysis, revealed spectral and chromatographic patterns useful for classification of unknown features, a subset of which were highly reproducible between labs. Overall, our method offers enhanced compound identification performance compared to targeted lipidomics, demonstrates the potential of harmonized methods to improve inter-site reproducibility for quantitation and feature alignment, and can serve as a reference to aid future annotation of untargeted lipidomics data.","container-title":"BioRxiv : the Preprint Server for Biology","DOI":"10.1101/2023.02.01.526566","page":"03","title":"The unknown lipids project: harmonized methods improve compound identification and data reproducibility in an inter-laboratory untargeted lipidomics study","volume":"03","author":[{"literal":"Shen T"},{"literal":"Conway C"},{"literal":"Rempfert K R"},{"literal":"Kyle J E"},{"literal":"Colby S M"},{"literal":"Gaul D A"},{"literal":"Habra H"},{"literal":"Kong F"},{"literal":"Bloodsworth K J"},{"literal":"Allen D"},{"literal":"Evans B S"},{"literal":"Du X"},{"literal":"Fernandez F M"},{"literal":"Metz T O"},{"literal":"Fiehn O"},{"literal":"Evans C R"}],"issued":{"date-parts":[["2023"]]}}}],"schema":"https://github.com/citation-style-language/schema/raw/master/csl-citation.json"} </w:instrText>
      </w:r>
      <w:r w:rsidR="729F0908" w:rsidRPr="008C17AC">
        <w:rPr>
          <w:rFonts w:ascii="Times New Roman" w:eastAsia="Times New Roman" w:hAnsi="Times New Roman" w:cs="Times New Roman"/>
        </w:rPr>
        <w:fldChar w:fldCharType="separate"/>
      </w:r>
      <w:r w:rsidR="3A539698" w:rsidRPr="008C17AC">
        <w:rPr>
          <w:rFonts w:ascii="Times New Roman" w:hAnsi="Times New Roman" w:cs="Times New Roman"/>
        </w:rPr>
        <w:t>[118]</w:t>
      </w:r>
      <w:r w:rsidR="729F0908" w:rsidRPr="008C17AC">
        <w:rPr>
          <w:rFonts w:ascii="Times New Roman" w:eastAsia="Times New Roman" w:hAnsi="Times New Roman" w:cs="Times New Roman"/>
        </w:rPr>
        <w:fldChar w:fldCharType="end"/>
      </w:r>
      <w:r w:rsidR="72B7D55D" w:rsidRPr="008C17AC">
        <w:rPr>
          <w:rFonts w:ascii="Times New Roman" w:eastAsia="Times New Roman" w:hAnsi="Times New Roman" w:cs="Times New Roman"/>
        </w:rPr>
        <w:t xml:space="preserve">, to re-analyses of statistical findings </w:t>
      </w:r>
      <w:r w:rsidR="729F0908" w:rsidRPr="008C17AC">
        <w:rPr>
          <w:rFonts w:ascii="Times New Roman" w:eastAsia="Times New Roman" w:hAnsi="Times New Roman" w:cs="Times New Roman"/>
        </w:rPr>
        <w:fldChar w:fldCharType="begin"/>
      </w:r>
      <w:r w:rsidR="729F0908" w:rsidRPr="008C17AC">
        <w:rPr>
          <w:rFonts w:ascii="Times New Roman" w:eastAsia="Times New Roman" w:hAnsi="Times New Roman" w:cs="Times New Roman"/>
        </w:rPr>
        <w:instrText xml:space="preserve"> ADDIN ZOTERO_ITEM CSL_CITATION {"citationID":"vNWcqXah","properties":{"formattedCitation":"[78,79 with two studies,128]","plainCitation":"[78,79 with two studies,128]","noteIndex":0},"citationItems":[{"id":29647,"uris":["http://zotero.org/groups/4983756/items/NZBANY5T"],"itemData":{"id":29647,"type":"article-journal","abstract":"The microarray community has shown that the low reproducibility observed in gene expression-based biomarker discovery studies is partially due to relying solely on p-values to get the lists of differentially expressed genes. Their conclusions recommended complementing the p-value cutoff with the use of effect-size criteria. The aim of this work was to evaluate the influence of such an effect-size filter on spectral counting-based comparative proteomic analysis. The results proved that the filter increased the number of true positives and decreased the number of false positives and the false discovery rate of the dataset. These results were confirmed by simulation experiments where the effect size filter was used to evaluate systematically variable fractions of differentially expressed proteins. Our results suggest that relaxing the p-value cut-off followed by a post-test filter based on effect size and signal level thresholds can increase the reproducibility of statistical results obtained in comparative proteomic analysis. Based on our work, we recommend using a filter consisting of a minimum absolute log&lt;inf&gt;2&lt;/inf&gt; fold change of 0.8 and a minimum signal of 2-4 SpC on the most abundant condition for the general practice of comparative proteomics. The implementation of feature filtering approaches could improve proteomic biomarker discovery initiatives by increasing the reproducibility of the results obtained among independent laboratories and MS platforms. Biological significance: Quality control analysis of microarray-based gene expression studies pointed out that the low reproducibility observed in the lists of differentially expressed genes could be partially attributed to the fact that these lists are generated relying solely on p-values. Our study has established that the implementation of an effect size post-test filter improves the statistical results of spectral count-based quantitative proteomics. The results proved that the filter increased the number of true positives whereas decreased the false positives and the false discovery rate of the datasets. The results presented here prove that a post-test filter applying a reasonable effect size and signal level thresholds helps to increase the reproducibility of statistical results in comparative proteomic analysis. Furthermore, the implementation of feature filtering approaches could improve proteomic biomarker discovery initiatives by increasing the reproducibility of results obtained among independent laboratories and MS platforms.This article is part of a Special Issue entitled: Standardization and Quality Control in Proteomics. © 2013 Elsevier B.V.","container-title":"Journal of Proteomics","DOI":"10.1016/j.jprot.2013.05.030","ISSN":"1874-3919 1876-7737","page":"55-65","title":"An effect size filter improves the reproducibility in spectral counting-based comparative proteomics","volume":"95","author":[{"literal":"Gregori J"},{"literal":"Villarreal L"},{"literal":"Sanchez A"},{"literal":"Baselga J"},{"literal":"Villanueva J"}],"issued":{"date-parts":[["2013"]]}}},{"id":29743,"uris":["http://zotero.org/groups/4983756/items/RYBJMJH7"],"itemData":{"id":29743,"type":"article-journal","abstract":"Controversy over non-reproducible published research reporting a statistically significant result has produced substantial discussion in the literature. p-value calibration is a recently proposed procedure for adjusting p-values to account for both random and systematic errors that address one aspect of this problem. The method's validity rests on the key assumption that bias in an effect estimate is drawn from a normal distribution whose mean and variance can be correctly estimated. We investigated the method's control of type I and type II error rates using simulated and real-world data. Under mild violations of underlying assumptions, control of the type I error rate can be conservative, while under more extreme departures, it can be anti-conservative. The extent to which the assumption is violated in real-world data analyses is unknown. Barriers to testing the plausibility of the assumption using historical data are discussed. Our studies of the type II error rate using simulated and real-world electronic health care data demonstrated that calibrating p-values can substantially increase the type II error rate. The use of calibrated p-values may reduce the number of false-positive results, but there will be a commensurate drop in the ability to detect a true safety or efficacy signal. While p-value calibration can sometimes offer advantages in controlling the type I error rate, its adoption for routine use in studies of real-world health care datasets is premature. Separate characterizations of random and systematic errors provide a richer context for evaluating uncertainty surrounding effect estimates. Copyright © 2016 John Wiley &amp; Sons, Ltd.","issue":"22","page":"3869-3882","title":"Limitations of empirical calibration of p-values using observational data","volume":"1","author":[{"literal":"Gruber S"},{"literal":"Tchetgen Tchetgen"},{"literal":"E"}],"issued":{"date-parts":[["2016"]]}},"label":"page","suffix":" with two studies"},{"id":29637,"uris":["http://zotero.org/groups/4983756/items/CT7M4MQP"],"itemData":{"id":29637,"type":"article-journal","abstract":"This article presents a study on the quality and execution of research code from publicly-available replication datasets at the Harvard Dataverse repository. Research code is typically created by a group of scientists and published together with academic papers to facilitate research transparency and reproducibility. For this study, we define ten questions to address aspects impacting research reproducibility and reuse. First, we retrieve and analyze more than 2000 replication datasets with over 9000 unique R files published from 2010 to 2020. Second, we execute the code in a clean runtime environment to assess its ease of reuse. Common coding errors were identified, and some of them were solved with automatic code cleaning to aid code execution. We find that 74% of R files failed to complete without error in the initial execution, while 56% failed when code cleaning was applied, showing that many errors can be prevented with good coding practices. We also analyze the replication datasets from journals' collections and discuss the impact of the journal policy strictness on the code re-execution rate. Finally, based on our results, we propose a set of recommendations for code dissemination aimed at researchers, journals, and repositories.","container-title":"Scientific Data","DOI":"10.1038/s41597-022-01143-6","ISSN":"2052-4463","issue":"1","page":"60","title":"A large-scale study on research code quality and execution","volume":"9","author":[{"literal":"Trisovic A"},{"literal":"Lau M K"},{"literal":"Pasquier T"},{"literal":"Crosas M"}],"issued":{"date-parts":[["2022"]]}}}],"schema":"https://github.com/citation-style-language/schema/raw/master/csl-citation.json"} </w:instrText>
      </w:r>
      <w:r w:rsidR="729F0908" w:rsidRPr="008C17AC">
        <w:rPr>
          <w:rFonts w:ascii="Times New Roman" w:eastAsia="Times New Roman" w:hAnsi="Times New Roman" w:cs="Times New Roman"/>
        </w:rPr>
        <w:fldChar w:fldCharType="separate"/>
      </w:r>
      <w:r w:rsidR="39F85E06" w:rsidRPr="008C17AC">
        <w:rPr>
          <w:rFonts w:ascii="Times New Roman" w:hAnsi="Times New Roman" w:cs="Times New Roman"/>
        </w:rPr>
        <w:t>[78,79 with two studies,128]</w:t>
      </w:r>
      <w:r w:rsidR="729F0908" w:rsidRPr="008C17AC">
        <w:rPr>
          <w:rFonts w:ascii="Times New Roman" w:eastAsia="Times New Roman" w:hAnsi="Times New Roman" w:cs="Times New Roman"/>
        </w:rPr>
        <w:fldChar w:fldCharType="end"/>
      </w:r>
      <w:r w:rsidR="72B7D55D" w:rsidRPr="008C17AC">
        <w:rPr>
          <w:rFonts w:ascii="Times New Roman" w:eastAsia="Times New Roman" w:hAnsi="Times New Roman" w:cs="Times New Roman"/>
        </w:rPr>
        <w:t>.</w:t>
      </w:r>
      <w:r w:rsidR="41EB85F1" w:rsidRPr="008C17AC">
        <w:rPr>
          <w:rFonts w:ascii="Times New Roman" w:eastAsia="Times New Roman" w:hAnsi="Times New Roman" w:cs="Times New Roman"/>
        </w:rPr>
        <w:t xml:space="preserve"> </w:t>
      </w:r>
      <w:r w:rsidR="22B251BA" w:rsidRPr="008C17AC">
        <w:rPr>
          <w:rFonts w:ascii="Times New Roman" w:eastAsia="Times New Roman" w:hAnsi="Times New Roman" w:cs="Times New Roman"/>
        </w:rPr>
        <w:t>O</w:t>
      </w:r>
      <w:r w:rsidR="17287772" w:rsidRPr="008C17AC">
        <w:rPr>
          <w:rFonts w:ascii="Times New Roman" w:eastAsia="Times New Roman" w:hAnsi="Times New Roman" w:cs="Times New Roman"/>
        </w:rPr>
        <w:t xml:space="preserve">ne study </w:t>
      </w:r>
      <w:r w:rsidR="729F0908" w:rsidRPr="008C17AC">
        <w:rPr>
          <w:rFonts w:ascii="Times New Roman" w:eastAsia="Times New Roman" w:hAnsi="Times New Roman" w:cs="Times New Roman"/>
        </w:rPr>
        <w:fldChar w:fldCharType="begin"/>
      </w:r>
      <w:r w:rsidR="729F0908" w:rsidRPr="008C17AC">
        <w:rPr>
          <w:rFonts w:ascii="Times New Roman" w:eastAsia="Times New Roman" w:hAnsi="Times New Roman" w:cs="Times New Roman"/>
        </w:rPr>
        <w:instrText xml:space="preserve"> ADDIN ZOTERO_ITEM CSL_CITATION {"citationID":"CJHcaXo2","properties":{"formattedCitation":"[71]","plainCitation":"[71]","noteIndex":0},"citationItems":[{"id":29670,"uris":["http://zotero.org/groups/4983756/items/QK4HV3S3"],"itemData":{"id":29670,"type":"article-journal","abstract":"In 2015, Comparative Political Studies embarked on a landmark pilot study in research transparency in the social sciences. The editors issued an open call for submissions of manuscripts that contained no mention of their actual results, incentivizing reviewers to evaluate manuscripts based on their theoretical contributions, research designs, and analysis plans. The three papers in this special issue are the result of this process that began with 19 submissions. In this article, we describe the rationale for this pilot, expressly articulating the practices of preregistration and results-free review. We document the process of carrying out the special issue with a discussion of the three accepted papers, and critically evaluate the role of both preregistration and results-free review. Our main conclusions are that results-free review encourages much greater attention to theory and research design, but that it raises thorny problems about how to anticipate and interpret null findings. We also observe that as currently practiced, results-free review has a particular affinity with experimental and cross-case methodologies. Our lack of submissions from scholars using qualitative or interpretivist research suggests limitations to the widespread use of results-free review. © 2016, © The Author(s) 2016.","container-title":"Comparative Political Studies","DOI":"10.1177/0010414016655539","ISSN":"00104140 (ISSN)","issue":"13","page":"1667-1703","title":"Can Results-Free Review Reduce Publication Bias? The Results and Implications of a Pilot Study","volume":"49","author":[{"literal":"Findley M G"},{"literal":"Jensen N M"},{"literal":"Malesky E J"},{"literal":"Pepinsky T B"}],"issued":{"date-parts":[["2016"]]}}}],"schema":"https://github.com/citation-style-language/schema/raw/master/csl-citation.json"} </w:instrText>
      </w:r>
      <w:r w:rsidR="729F0908" w:rsidRPr="008C17AC">
        <w:rPr>
          <w:rFonts w:ascii="Times New Roman" w:eastAsia="Times New Roman" w:hAnsi="Times New Roman" w:cs="Times New Roman"/>
        </w:rPr>
        <w:fldChar w:fldCharType="separate"/>
      </w:r>
      <w:r w:rsidR="17287772" w:rsidRPr="008C17AC">
        <w:rPr>
          <w:rFonts w:ascii="Times New Roman" w:hAnsi="Times New Roman" w:cs="Times New Roman"/>
        </w:rPr>
        <w:t>[71]</w:t>
      </w:r>
      <w:r w:rsidR="729F0908" w:rsidRPr="008C17AC">
        <w:rPr>
          <w:rFonts w:ascii="Times New Roman" w:eastAsia="Times New Roman" w:hAnsi="Times New Roman" w:cs="Times New Roman"/>
        </w:rPr>
        <w:fldChar w:fldCharType="end"/>
      </w:r>
      <w:r w:rsidR="17287772" w:rsidRPr="008C17AC">
        <w:rPr>
          <w:rFonts w:ascii="Times New Roman" w:eastAsia="Times New Roman" w:hAnsi="Times New Roman" w:cs="Times New Roman"/>
        </w:rPr>
        <w:t xml:space="preserve"> did not report any quantitative results, instead the authors described the experiences after the implementation of an intervention. </w:t>
      </w:r>
      <w:r w:rsidR="5155E56D" w:rsidRPr="008C17AC">
        <w:rPr>
          <w:rFonts w:ascii="Times New Roman" w:eastAsia="Times New Roman" w:hAnsi="Times New Roman" w:cs="Times New Roman"/>
        </w:rPr>
        <w:t>In all seven, the intervention was intentionally applied in an experimental setting.</w:t>
      </w:r>
      <w:r w:rsidR="17287772" w:rsidRPr="008C17AC">
        <w:rPr>
          <w:rFonts w:ascii="Times New Roman" w:eastAsia="Times New Roman" w:hAnsi="Times New Roman" w:cs="Times New Roman"/>
        </w:rPr>
        <w:t xml:space="preserve"> </w:t>
      </w:r>
    </w:p>
    <w:p w14:paraId="707A8B98" w14:textId="716A7824" w:rsidR="765E155D" w:rsidRPr="008C17AC" w:rsidRDefault="46EAB585" w:rsidP="1A6C9FDE">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u w:val="single"/>
        </w:rPr>
        <w:t>Observational post-intervention only design (n=24 studies):</w:t>
      </w:r>
      <w:r w:rsidRPr="008C17AC">
        <w:rPr>
          <w:rFonts w:ascii="Times New Roman" w:eastAsia="Times New Roman" w:hAnsi="Times New Roman" w:cs="Times New Roman"/>
        </w:rPr>
        <w:t xml:space="preserve"> </w:t>
      </w:r>
      <w:r w:rsidR="4FCD85D5" w:rsidRPr="008C17AC">
        <w:rPr>
          <w:rFonts w:ascii="Times New Roman" w:eastAsia="Times New Roman" w:hAnsi="Times New Roman" w:cs="Times New Roman"/>
        </w:rPr>
        <w:t>T</w:t>
      </w:r>
      <w:r w:rsidRPr="008C17AC">
        <w:rPr>
          <w:rFonts w:ascii="Times New Roman" w:eastAsia="Times New Roman" w:hAnsi="Times New Roman" w:cs="Times New Roman"/>
        </w:rPr>
        <w:t xml:space="preserve">his design was often applied in studies that checked reporting status of studies or materials- and methods-sharing status of studies after e.g. </w:t>
      </w:r>
      <w:r w:rsidRPr="008C17AC">
        <w:rPr>
          <w:rFonts w:ascii="Times New Roman" w:eastAsia="Times New Roman" w:hAnsi="Times New Roman" w:cs="Times New Roman"/>
        </w:rPr>
        <w:lastRenderedPageBreak/>
        <w:t xml:space="preserve">the impact of journal policy on these areas. There was no baseline measurement reported from before the implementation of the intervention </w:t>
      </w:r>
      <w:r w:rsidR="29A6A53E" w:rsidRPr="008C17AC">
        <w:rPr>
          <w:rFonts w:ascii="Times New Roman" w:eastAsia="Times New Roman" w:hAnsi="Times New Roman" w:cs="Times New Roman"/>
        </w:rPr>
        <w:fldChar w:fldCharType="begin"/>
      </w:r>
      <w:r w:rsidR="29A6A53E" w:rsidRPr="008C17AC">
        <w:rPr>
          <w:rFonts w:ascii="Times New Roman" w:eastAsia="Times New Roman" w:hAnsi="Times New Roman" w:cs="Times New Roman"/>
        </w:rPr>
        <w:instrText xml:space="preserve"> ADDIN ZOTERO_ITEM CSL_CITATION {"citationID":"TfZ4SINp","properties":{"formattedCitation":"[50,53,54,56,62,65\\uc0\\u8211{}67,69,76,77,81\\uc0\\u8211{}83,99,103,106,107,114,116,117,119]","plainCitation":"[50,53,54,56,62,65–67,69,76,77,81–83,99,103,106,107,114,116,117,119]","noteIndex":0},"citationItems":[{"id":29757,"uris":["http://zotero.org/groups/4983756/items/73UGTXN3"],"itemData":{"id":29757,"type":"article-journal","abstract":"BACKGROUND: There is increasing interest to make primary data from published research publicly available. We aimed to assess the current status of making research data available in highly-cited journals across the scientific literature. METHODS AND RESULTS: We reviewed the first 10 original research papers of 2009 published in the 50 original research journals with the highest impact factor. For each journal we documented the policies related to public availability and sharing of data. Of the 50 journals, 44 (88%) had a statement in their instructions to authors related to public availability and sharing of data. However, there was wide variation in journal requirements, ranging from requiring the sharing of all primary data related to the research to just including a statement in the published manuscript that data can be available on request. Of the 500 assessed papers, 149 (30%) were not subject to any data availability policy. Of the remaining 351 papers that were covered by some data availability policy, 208 papers (59%) did not fully adhere to the data availability instructions of the journals they were published in, most commonly (73%) by not publicly depositing microarray data. The other 143 papers that adhered to the data availability instructions did so by publicly depositing only the specific data type as required, making a statement of willingness to share, or actually sharing all the primary data. Overall, only 47 papers (9%) deposited full primary raw data online. None of the 149 papers not subject to data availability policies made their full primary data publicly available. CONCLUSION: A substantial proportion of original research papers published in high-impact journals are either not subject to any data availability policies, or do not adhere to the data availability instructions in their respective journals. This empiric evaluation highlights opportunities for improvement.","issue":"9","page":"e24357","title":"Public availability of published research data in high-impact journals","volume":"1","author":[{"literal":"Alsheikh-Ali A A"},{"literal":"Qureshi W"},{"literal":"Al-Mallah M H"},{"literal":"Ioannidis J P"}],"issued":{"date-parts":[["2011"]]}},"label":"page"},{"id":29713,"uris":["http://zotero.org/groups/4983756/items/RZGWQWAA"],"itemData":{"id":29713,"type":"article-journal","container-title":"Journal of Clinical Oncology","DOI":"10.1200/jco.2017.35.15_suppl.e14026","ISSN":"0732-183X","title":"Examining the adherence to CONSORT guidelines and the reporting of the enrollment process in clinical oncology randomized controlled trials: A review of trials published between 2013 and 2015","volume":"35","author":[{"literal":"Audet S"},{"literal":"Doyle C"},{"literal":"Lemieux C"},{"literal":"Lemieux J"}],"issued":{"date-parts":[["2017"]]}},"label":"page"},{"id":29753,"uris":["http://zotero.org/groups/4983756/items/IDQ2IABI"],"itemData":{"id":29753,"type":"article-journal","container-title":"Zeitschrift Fur Soziologie","DOI":"10.1515/zfsoz-2020-0001","ISSN":"0340-1804","issue":"1","page":"1-9","title":"More openness in research? An evaluation of open science measures at the Journal of Sociology","volume":"49","author":[{"literal":"Auspurg K"},{"literal":"Recker J"}],"issued":{"date-parts":[["2020"]]}},"label":"page"},{"id":29684,"uris":["http://zotero.org/groups/4983756/items/LP5Y58W5"],"itemData":{"id":29684,"type":"article-journal","abstract":"Importance: Clinical trial data sharing holds promise for maximizing the value of clinical research. The International Committee of Medical Journal Editors (ICMJE) adopted a policy promoting data sharing in July 2018. Objective: To evaluate the association of the ICMJE data sharing policy with data availability and reproducibility of main conclusions among leading surgical journals. Design, Setting, and Participants: This cross-sectional study, conducted in October 2021, examined randomized clinical trials (RCTs) in 10 leading surgical journals before and after the implementation of the ICMJE data sharing policy in July 2018. Exposure: Implementation of the ICMJE data sharing policy. Main Outcomes and Measures: To demonstrate a pre-post increase in data availability from 5% to 25% (alpha = .05; beta = 0.1), 65 RCTs published before and 65 RCTs published after the policy was issued were included, and their data were requested. The primary outcome was data availability (ie, the receipt of sufficient data to enable reanalysis of the primary outcome). When data sharing was available, the primary outcomes reported in the journal articles were reanalyzed to explore reproducibility. The reproducibility features of these studies were detailed. Results: Data were available for 2 of 65 RCTs (3.1%) published before the ICMJE policy and for 2 of 65 RCTs (3.1%) published after the policy was issued (odds ratio, 1.00; 95% CI, 0.07-14.19; P &gt; .99). A data sharing statement was observed in 11 of 65 RCTs (16.9%) published after the policy vs none before the policy (risk ratio, 2.20; 95% CI, 1.81-2.68; P = .001). Data obtained for reanalysis (n = 4) were not from RCTs published with a data sharing statement. Of the 4 RCTs with available data, all of them had primary outcomes that were fully reproduced. However, discrepancies or inaccuracies that were not associated with study conclusions were identified in 3 RCTs. These concerned the number of patients included in 1 RCT, the management of missing values in another RCT, and discrepant timing for the principal outcome declared in the study registration and reported in the third RCT. Conclusions and Relevance: This cross-sectional study suggests that data sharing practices are rare in surgical journals despite the ICMJE policy and that most RCTs published in these journals lack transparency. The results of these studies may not be reproducible by external researchers.","container-title":"JAMA Network Open","DOI":"10.1001/jamanetworkopen.2022.15209","ISSN":"2574-3805","issue":"6","page":"e2215209","title":"Data Sharing and Reanalyses Among Randomized Clinical Trials Published in Surgical Journals Before and After Adoption of a Data Availability and Reproducibility Policy","volume":"5","author":[{"literal":"Bergeat D"},{"literal":"Lombard N"},{"literal":"Gasmi A"},{"literal":"Le Floch B"},{"literal":"Naudet F"}],"issued":{"date-parts":[["2022"]]}},"label":"page"},{"id":29781,"uris":["http://zotero.org/groups/4983756/items/XAKY4JEP"],"itemData":{"id":29781,"type":"article-journal","abstract":"BACKGROUND: Abstracts are intended to be concise summaries of the entire randomised clinical trial (RCT). Despite their importance, few studies have examined the reporting quality of abstracts in the anaesthesiology literature. OBJECTIVES: To examine the quality of RCT abstract reporting according to the CONSORT for Abstracts guidelines and determine whether recommended items omitted from the abstract were present in the body of the article. DESIGN: A cross-sectional study of RCTs. SETTING: This study was performed at the University of Western Ontario and University Hospital, London Health Sciences Centre. PARTICIPANTS: All RCTs meeting inclusion criteria that were published in 2010 or 2016 in six general anaesthesiology journals (Anaesthesia, Anesthesia &amp; Analgesia, Anesthesiology, British Journal of Anaesthesia, Canadian Journal of Anesthesia and European Journal of Anaesthesiology). MAIN OUTCOME MEASURES: The 16 checklist items from the CONSORT for Abstracts statement were used to create a convenience score as a proxy for RCT abstract reporting quality, with each criterion measured as being reported in abstract, not reported in abstract but reported in full-text article, or not reported in abstract or full-text article. RESULTS: Of the 395 RCTs identified, 219 were published in 2010 and 176 were published in 2016. Out of the maximum possible score of 16, the median abstract score increased from 4 points [interquartile range (IQR): 3 to 5] in 2010 to 6 points [IQR: 5 to 8] in 2016. Although most checklist items showed improvement from 2010 to 2016, around 75% of RCTs in 2016 met fewer than half of the 16 items with no RCTs reporting all 16 items in the abstract. A majority of the RCTs had the information present in the full-text. In 2016, only 71 out of 176 (40%) of RCTs reported outcomes conforming to the CONSORT guidelines (with an effect size and a confidence interval around the effect size) in the Abstract. CONCLUSION: Abstracts for many anaesthesiology RCTs are incomplete selective summaries of the entire article.","container-title":"European Journal of Anaesthesiology","DOI":"10.1097/eja.0000000000000880","ISSN":"1365-2346","page":"942-948","title":"The degree of adherence to CONSORT reporting guidelines for the abstracts of randomised clinical trials published in anaesthesia journals: A cross-sectional study of reporting adherence in 2010 and 2016","author":[{"literal":"Chow J T. Y"},{"literal":"Turkstra T P"},{"literal":"Yim E"},{"literal":"Jones P M"}],"issued":{"date-parts":[["2018"]]}},"label":"page"},{"id":29801,"uris":["http://zotero.org/groups/4983756/items/T2EZWLWC"],"itemData":{"id":29801,"type":"article-journal","abstract":"In April 2019, Psychological Science published its first issue in which all Research Articles received the Open Data badge. We used that issue to investigate the effectiveness of this badge, focusing on the adherence to its aim at Psychological Science: sharing both data and code to ensure reproducibility of results. Twelve researchers of varying experience levels attempted to reproduce the results of the empirical articles in the target issue (at least three researchers per article). We found that all 14 articles provided at least some data and six provided analysis code, but only one article was rated to be exactly reproducible, and three were rated as essentially reproducible with minor deviations. We suggest that researchers should be encouraged to adhere to the higher standard in force at Psychological Science. Moreover, a check of reproducibility during peer review may be preferable to the disclosure method of awarding badges. © The Author(s) 2023.","container-title":"Psychological Science","DOI":"10.1177/09567976221140828","ISSN":"09567976 (ISSN)","issue":"4","page":"512-522","title":"What’s in a Badge? A Computational Reproducibility Investigation of the Open Data Badge Policy in One Issue of Psychological Science","volume":"34","author":[{"literal":"Crüwell S"},{"literal":"Apthorp D"},{"literal":"Baker B J"},{"literal":"Colling L"},{"literal":"Elson M"},{"literal":"Geiger S J"},{"literal":"Lobentanzer S"},{"literal":"Monéger J"},{"literal":"Patterson A"},{"literal":"Schwarzkopf D S"},{"literal":"Zaneva M"},{"literal":"Brown N J. L"}],"issued":{"date-parts":[["2023"]]}},"label":"page"},{"id":29745,"uris":["http://zotero.org/groups/4983756/items/EBB66E8V"],"itemData":{"id":29745,"type":"article-journal","abstract":"Access to analytical code is essential for transparent and reproducible research. We review the state of code availability in ecology using a random sample of 346 nonmolecular articles published between 2015 and 2019 under mandatory or encouraged code-sharing policies. Our results call for urgent action to increase code availability: only 27% of eligible articles were accompanied by code. In contrast, data were available for 79% of eligible articles, highlighting that code availability is an important limiting factor for computational reproducibility in ecology. Although the percentage of ecological journals with mandatory or encouraged code-sharing policies has increased considerably, from 15% in 2015 to 75% in 2020, our results show that code-sharing policies are not adhered to by most authors. We hope these results will encourage journals, institutions, funding agencies, and researchers to address this alarming situation.","container-title":"Plos Biology","DOI":"10.1371/journal.pbio.3000763","ISSN":"1545-7885","issue":"7","page":"e3000763","title":"Low availability of code in ecology: A call for urgent action","volume":"18","author":[{"literal":"Culina A"},{"literal":"van den Berg I"},{"literal":"Evans S"},{"literal":"Sanchez-Tojar A"}],"issued":{"date-parts":[["2020"]]}},"label":"page"},{"id":29711,"uris":["http://zotero.org/groups/4983756/items/U4JCZJGV"],"itemData":{"id":29711,"type":"article-journal","abstract":"Importance: The benefits of responsible sharing of individual-participant data (IPD) from clinical studies are well recognized, but stakeholders often disagree on how to align those benefits with privacy risks, costs, and incentives for clinical trialists and sponsors. The International Committee of Medical Journal Editors (ICMJE) required a data sharing statement (DSS) from submissions reporting clinical trials effective July 1, 2018. The required DSSs provide a window into current data sharing rates, practices, and norms among trialists and sponsors. Objective: To evaluate the implementation of the ICMJE DSS requirement in 3 leading medical journals: JAMA, Lancet, and New England Journal of Medicine (NEJM). Design, Setting, and Participants: This is a cross-sectional study of clinical trial reports published as articles in JAMA, Lancet, and NEJM between July 1, 2018, and April 4, 2020. Articles not eligible for DSS, including observational studies and letters or correspondence, were excluded. A MEDLINE/PubMed search identified 487 eligible clinical trials in JAMA (112 trials), Lancet (147 trials), and NEJM (228 trials). Two reviewers evaluated each of the 487 articles independently. Exposure: Publication of clinical trial reports in an ICMJE medical journal requiring a DSS. Main Outcomes and Measures: The primary outcomes of the study were declared data availability and actual data availability in repositories. Other captured outcomes were data type, access, and conditions and reasons for data availability or unavailability. Associations with funding sources were examined. Results: A total of 334 of 487 articles (68.6%; 95% CI, 64%-73%) declared data sharing, with nonindustry NIH-funded trials exhibiting the highest rates of declared data sharing (89%; 95% CI, 80%-98%) and industry-funded trials the lowest (61%; 95% CI, 54%-68%). However, only 2 IPD sets (0.6%; 95% CI, 0.0%-1.5%) were actually deidentified and publicly available as of April 10, 2020. The remaining were supposedly accessible via request to authors (143 of 334 articles [42.8%]), repository (89 of 334 articles [26.6%]), and company (78 of 334 articles [23.4%]). Among the 89 articles declaring that IPD would be stored in repositories, only 17 (19.1%) deposited data, mostly because of embargo and regulatory approval. Embargo was set in 47.3% of data-sharing articles (158 of 334), and in half of them the period exceeded 1 year or was unspecified. Conclusions and Relevance: Most trials published in JAMA, Lancet, and NEJM after the implementation of the ICMJE policy declared their intent to make clinical data available. However, a wide gap between declared and actual data sharing exists. To improve transparency and data reuse, journals should promote the use of unique pointers to data set location and standardized choices for embargo periods and access requirements.","container-title":"JAMA Network Open","DOI":"10.1001/jamanetworkopen.2020.33972","ISSN":"2574-3805","issue":"1","page":"e2033972","title":"Evaluation of Data Sharing After Implementation of the International Committee of Medical Journal Editors Data Sharing Statement Requirement","volume":"4","author":[{"literal":"Danchev V"},{"literal":"Min Y"},{"literal":"Borghi J"},{"literal":"Baiocchi M"},{"literal":"Ioannidis J P. A"}],"issued":{"date-parts":[["2021"]]}},"label":"page"},{"id":29692,"uris":["http://zotero.org/groups/4983756/items/FNK5Y37X"],"itemData":{"id":29692,"type":"article-journal","abstract":"A number of publishers and funders, including PLOS, have recently adopted policies requiring researchers to share the data underlying their results and publications. Such policies help increase the reproducibility of the published literature, as well as make a larger body of data available for reuse and re-analysis. In this study, we evaluate the extent to which authors have complied with this policy by analyzing Data Availability Statements from 47,593 papers published in PLOS ONE between March 2014 (when the policy went into effect) and May 2016. Our analysis shows that compliance with the policy has increased, with a significant decline over time in papers that did not include a Data Availability Statement. However, only about 20% of statements indicate that data are deposited in a repository, which the PLOS policy states is the preferred method. More commonly, authors state that their data are in the paper itself or in the supplemental information, though it is unclear whether these data meet the level of sharing required in the PLOS policy. These findings suggest that additional review of Data Availability Statements or more stringent policies may be needed to increase data sharing.","container-title":"PLoS ONE [Electronic Resource]","DOI":"10.1371/journal.pone.0194768","ISSN":"1932-6203","issue":"5","page":"e0194768","title":"Data sharing in PLOS ONE: An analysis of Data Availability Statements","volume":"13","author":[{"literal":"Federer L M"},{"literal":"Belter C W"},{"literal":"Joubert D J"},{"literal":"Livinski A"},{"literal":"Lu Y L"},{"literal":"Snyders L N"},{"literal":"Thompson H"}],"issued":{"date-parts":[["2018"]]}},"label":"page"},{"id":29676,"uris":["http://zotero.org/groups/4983756/items/K4AYCCYV"],"itemData":{"id":29676,"type":"article-journal","abstract":"BACKGROUND: Discrepancies between pre-specified and reported outcomes are an important source of bias in trials. Despite legislation, guidelines and public commitments on correct reporting from journals, outcome misreporting continues to be prevalent. We aimed to document the extent of misreporting, establish whether it was possible to publish correction letters on all misreported trials as they were published, and monitor responses from editors and trialists to understand why outcome misreporting persists despite public commitments to address it. METHODS: We identified five high-impact journals endorsing Consolidated Standards of Reporting Trials (CONSORT) (New England Journal of Medicine, The Lancet, Journal of the American Medical Association, British Medical Journal, and Annals of Internal Medicine) and assessed all trials over a six-week period to identify every correctly and incorrectly reported outcome, comparing published reports against published protocols or registry entries, using CONSORT as the gold standard. A correction letter describing all discrepancies was submitted to the journal for all misreported trials, and detailed coding sheets were shared publicly. The proportion of letters published and delay to publication were assessed over 12 months of follow-up. Correspondence received from journals and authors was documented and themes were extracted. RESULTS: Sixty-seven trials were assessed in total. Outcome reporting was poor overall and there was wide variation between journals on pre-specified primary outcomes (mean 76% correctly reported, journal range 25-96%), secondary outcomes (mean 55%, range 31-72%), and number of undeclared additional outcomes per trial (mean 5.4, range 2.9-8.3). Fifty-eight trials had discrepancies requiring a correction letter (87%, journal range 67-100%). Twenty-three letters were published (40%) with extensive variation between journals (range 0-100%). Where letters were published, there were delays (median 99 days, range 0-257 days). Twenty-nine studies had a pre-trial protocol publicly available (43%, range 0-86%). Qualitative analysis demonstrated extensive misunderstandings among journal editors about correct outcome reporting and CONSORT. Some journals did not engage positively when provided correspondence that identified misreporting; we identified possible breaches of ethics and publishing guidelines. CONCLUSIONS: All five journals were listed as endorsing CONSORT, but all exhibited extensive breaches of this guidance, and most rejected correction letters documenting shortcomings. Readers are likely to be misled by this discrepancy. We discuss the advantages of prospective methodology research sharing all data openly and pro-actively in real time as feedback on critiqued studies. This is the first empirical study of major academic journals' willingness to publish a cohort of comparable and objective correction letters on misreported high-impact studies. Suggested improvements include changes to correspondence processes at journals, alternatives for indexed post-publication peer review, changes to CONSORT's mechanisms for enforcement, and novel strategies for research on methods and reporting.","container-title":"Trials [Electronic Resource]","DOI":"10.1186/s13063-019-3173-2","ISSN":"1745-6215","issue":"1","page":"118","title":"COMPare: a prospective cohort study correcting and monitoring 58 misreported trials in real time","volume":"20","author":[{"literal":"Goldacre B"},{"literal":"Drysdale H"},{"literal":"Dale A"},{"literal":"Milosevic I"},{"literal":"Slade E"},{"literal":"Hartley P"},{"literal":"Marston C"},{"literal":"Powell-Smith A"},{"literal":"Heneghan C"},{"literal":"Mahtani K R"}],"issued":{"date-parts":[["2019"]]}},"label":"page"},{"id":29658,"uris":["http://zotero.org/groups/4983756/items/65FP6AY7"],"itemData":{"id":29658,"type":"article-journal","abstract":"Although data sharing is one of the primary measures proposed to improve the integrity and quality of published research, studies show it remains the exception not the rule. The current study examines the availability of data in papers reporting the results of analyses of empirical data from original research in high-impact addiction journals. Thirteen high-impact journals with data sharing policies were selected from those included in the substance abuse category of the 2018 Clarivate Analytics' Journal Citation Report. The first 10 full or short original research reports that included empirical data in the most recent complete issue of each journal were electronically searched and reviewed for reference to where their data can be obtained and for a formal data sharing statement. Only eight of the 130 papers contained a data sharing statement in their text or supplementary online materials, and just one contained a direct link to the data analyzed. Data sharing was rare in the 13 high-impact addiction journals reviewed. The nature of the data reported in addiction journals might partly explain this. Currently, data sharing is not a procedure likely to improve the quality and integrity of published addiction research.","container-title":"Science &amp; Engineering Ethics","DOI":"10.1007/s11948-020-00203-7","ISSN":"1471-5546","issue":"3","page":"1625-1632","title":"Availability of Research Data in High-Impact Addiction Journals with Data Sharing Policies","volume":"26","author":[{"literal":"Gorman D M"}],"issued":{"date-parts":[["2020"]]}},"label":"page"},{"id":29723,"uris":["http://zotero.org/groups/4983756/items/J8VFZQZM"],"itemData":{"id":29723,"type":"article-journal","abstract":"BACKGROUND: Various stakeholders are calling for increased availability of data and code from cancer research. However, it is unclear how commonly these products are shared, and what factors are associated with sharing. Our objective was to evaluate how frequently oncology researchers make data and code available and explore factors associated with sharing. METHODS: A cross-sectional analysis of a random sample of 306 cancer-related articles indexed in PubMed in 2019 which studied research subjects with a cancer diagnosis was performed. All articles were independently screened for eligibility by two authors. Outcomes of interest included the prevalence of affirmative sharing declarations and the rate with which declarations connected to data complying with key FAIR principles (e.g. posted to a recognised repository, assigned an identifier, data license outlined, non-proprietary formatting). We also investigated associations between sharing rates and several journal characteristics (e.g. sharing policies, publication models), study characteristics (e.g. cancer rarity, study design), open science practices (e.g. pre-registration, pre-printing) and subsequent citation rates between 2020 and 2021. RESULTS: One in five studies declared data were publicly available (59/306, 19%, 95% CI: 15-24%). However, when data availability was investigated this percentage dropped to 16% (49/306, 95% CI: 12-20%), and then to less than 1% (1/306, 95% CI: 0-2%) when data were checked for compliance with key FAIR principles. While only 4% of articles that used inferential statistics reported code to be available (10/274, 95% CI: 2-6%), the odds of reporting code to be available were 5.6 times higher for researchers who shared data. Compliance with mandatory data and code sharing policies was observed in 48% (14/29) and 0% (0/6) of articles, respectively. However, 88% of articles (45/51) included data availability statements when required. Policies that encouraged data sharing did not appear to be any more effective than not having a policy at all. The only factors associated with higher rates of data sharing were studying rare cancers and using publicly available data to complement original research. CONCLUSIONS: Data and code sharing in oncology occurs infrequently, and at a lower rate than would be expected given the prevalence of mandatory sharing policies. There is also a large gap between those declaring data to be available, and those archiving data in a way that facilitates its reuse. We encourage journals to actively check compliance with sharing policies, and researchers consult community-accepted guidelines when archiving the products of their research.","container-title":"BMC Medicine","DOI":"10.1186/s12916-022-02644-2","ISSN":"1741-7015","issue":"1","page":"438","title":"How often do cancer researchers make their data and code available and what factors are associated with sharing?","volume":"20","author":[{"literal":"Hamilton D G"},{"literal":"Page M J"},{"literal":"Finch S"},{"literal":"Everitt S"},{"literal":"Fidler F"}],"issued":{"date-parts":[["2022"]]}},"label":"page"},{"id":29777,"uris":["http://zotero.org/groups/4983756/items/FDZJENVI"],"itemData":{"id":29777,"type":"article-journal","abstract":"Background: Trial registration and the reporting of trial results are essential to increase transparency in clinical research. Although both have been strongly promoted in recent years, it remains unclear whether they have been successfully implemented in surgery and surgery-related disciplines. In this cross-sectional study, we assessed whether randomized controlled trials (RCTs) published in surgery journals requiring trial registration in their author instructions were indeed registered, and whether the study results of registered RCTs had been submitted to the trial register and were thus publicly available.Methods: The ten highest ranked surgery journals requiring trial registration by impact factor (Journal Citation Reports, JCR, 2011) were chosen. We then searched MEDLINE (in PubMed) for RCTs published in the selected journals between 1 June 2012 and 31 December 2012. Any trials recruiting participants before 2004 were excluded because the International Committee of Medical Journal Editors (ICMJE) first proposed trial registration in 2004. We then searched the World Health Organization (WHO) International Clinical Trials Registry Platform (ICTRP) to assess whether the identified RCTs were indeed registered and whether the results of the registered RCTs were available in the register.Results: The search retrieved 588 citations. Four hundred and sixty references were excluded in the first screening. A further 25 were excluded after full-text screening. A total of 103 RCTs were finally included. Eighty-five of these RCTs (83%) could be found via the ICTRP. For 7 of 59 (12%) RCTs, which were registered on ClinicalTrials.gov, summary study data had been posted in the results database.Conclusions: Although still not fully implemented, trial registration in surgery has gained momentum. In general, however, the submission of summary study data to ClinicalTrials.gov remains poor. © 2013 Hardt et al.; licensee BioMed Central Ltd.","container-title":"Trials","DOI":"10.1186/1745-6215-14-407","ISSN":"17456215 (ISSN)","issue":"1","page":"407","title":"Surgical trials and trial registers: A cross-sectional study of randomized controlled trials published in journals requiring trial registration in the author instructions","volume":"14","author":[{"literal":"Hardt J L. S"},{"literal":"Metzendorf M I"},{"literal":"Meerpohl J J"}],"issued":{"date-parts":[["2013"]]}},"label":"page"},{"id":29652,"uris":["http://zotero.org/groups/4983756/items/7CNFRCL5"],"itemData":{"id":29652,"type":"article-journal","abstract":"For any scientific report, repeating the original analyses upon the original data should yield the original outcomes. We evaluated analytic reproducibility in 25 Psychological Science articles awarded open data badges between 2014 and 2015. Initially, 16 (64%, 95% confidence interval [43,81]) articles contained at least one 'major numerical discrepancy' (&gt;10% difference) prompting us to request input from original authors. Ultimately, target values were reproducible without author involvement for 9 (36% [20,59]) articles; reproducible with author involvement for 6 (24% [8,47]) articles; not fully reproducible with no substantive author response for 3 (12% [0,35]) articles; and not fully reproducible despite author involvement for 7 (28% [12,51]) articles. Overall, 37 major numerical discrepancies remained out of 789 checked values (5% [3,6]), but original conclusions did not appear affected. Non-reproducibility was primarily caused by unclear reporting of analytic procedures. These results highlight that open data alone is not sufficient to ensure analytic reproducibility.","container-title":"Royal Society Open Science","DOI":"10.1098/rsos.201494","ISSN":"2054-5703","issue":"1","page":"201494","title":"Analytic reproducibility in articles receiving open data badges at the journal Psychological Science: an observational study","volume":"8","author":[{"literal":"Hardwicke T E"},{"literal":"Bohn M"},{"literal":"MacDonald K"},{"literal":"Hembacher E"},{"literal":"Nuijten M B"},{"literal":"Peloquin B N"},{"literal":"deMayo B E"},{"literal":"Long B"},{"literal":"Yoon E J"},{"literal":"Frank M C"}],"issued":{"date-parts":[["2021"]]}},"label":"page"},{"id":29785,"uris":["http://zotero.org/groups/4983756/items/2ZCX4YYZ"],"itemData":{"id":29785,"type":"article-journal","abstract":"BACKGROUND: Systematic reviews (SRs) are cornerstones of evidence-based medicine and have contributed significantly to breakthroughs since the 1980's. However, preclinical SRs remain relatively rare despite their many advantages. Since 2011 the Dutch health funding organisation (ZonMw) has run a grant scheme dedicated to promoting the training, coaching and conduct of preclinical SRs. Our study focuses on this funding scheme to investigate the relevance, effects and benefits of conducting preclinical SRs on researchers and their research. METHODS: We recruited researchers who attended funded preclinical SR workshops and who conducted, are still conducting, or prematurely stopped a SR with funded coaching. We gathered data using online questionnaires followed by semi-structured interviews. Both aimed to explore the impact of conducting a SR on researchers' subsequent work, attitudes, and views about their research field. Data-analysis was performed using Excel and ATLAS.ti. RESULTS: Conducting preclinical SRs had two distinct types of impact. First, the researchers acquired new skills and insights, leading to a change in mindset regarding the quality of animal research. This was mainly seen in the way participants planned, conducted and reported their subsequent animal studies, which were more transparent and of a higher quality than their previous work. Second, participants were eager to share their newly acquired knowledge within their laboratories and to advocate for change within their research teams and fields of interest. In particular, they emphasised the need for preclinical SRs and improved experimental design within preclinical research, promoting these through education and published opinion papers. CONCLUSION: Being trained and coached in the conduct of preclinical SRs appears to be a contributing factor to many beneficial changes which will impact the quality of preclinical research in the long-term. Our findings suggest that this ZonMw funding scheme is helpful in improving the quality and transparency of preclinical research. Similar funding schemes should be encouraged, preferably by a broader group of funders or financers, in the future.","container-title":"PLoS ONE [Electronic Resource]","DOI":"10.1371/journal.pone.0260619","ISSN":"1932-6203","issue":"12","page":"e0260619","title":"The impact of conducting preclinical systematic reviews on researchers and their research: A mixed method case study","volume":"16","author":[{"literal":"Menon J M. L"},{"literal":"Ritskes-Hoitinga M"},{"literal":"Pound P"},{"literal":"van Oort E"}],"issued":{"date-parts":[["2021"]]}},"label":"page"},{"id":29686,"uris":["http://zotero.org/groups/4983756/items/4P7J7LM9"],"itemData":{"id":29686,"type":"article-journal","abstract":"Objectives To explore the effectiveness of data sharing by randomized controlled trials (RCTs) in journals with a full data sharing policy and to describe potential difficulties encountered in the process of performing reanalyses of the primary outcomes. Design Survey of published RCTs. Setting PubMed/Medline. Eligibility criteria RCTs that had been submitted and published by The BMJ and PLOS Medicine subsequent to the adoption of data sharing policies by these journals. Main outcome measure The primary outcome was data availability, defined as the eventual receipt of complete data with clear labelling. Primary outcomes were reanalyzed to assess to what extent studies were reproduced. Difficulties encountered were described. Results 37 RCTs (21 from The BMJ and 16 from PLOS Medicine) published between 2013 and 2016 met the eligibility criteria. 17/37 (46%, 95% confidence interval 30% to 62%) satisfied the definition of data availability and 14 of the 17 (82%, 59% to 94%) were fully reproduced on all their primary outcomes. Of the remaining RCTs, errors were identified in two but reached similar conclusions and one paper did not provide enough information in the Methods section to reproduce the analyses. Difficulties identified included problems in contacting corresponding authors and lack of resources on their behalf in preparing the datasets. In addition, there was a range of different data sharing practices across study groups. Conclusions Data availability was not optimal in two journals with a strong policy for data sharing. When investigators shared data, most reanalyses largely reproduced the original results. Data sharing practices need to become more widespread and streamlined to allow meaningful reanalyses and reuse of data. Trial registration Open Science Framework osf.io/c4zke. © Published by the BMJ Publishing Group Limited..","container-title":"BMJ (Online)","DOI":"10.1136/bmj.k400","ISSN":"09598146 (ISSN)","page":"k400","title":"Data sharing and reanalysis of randomized controlled trials in leading biomedical journals with a full data sharing policy: Survey of studies published in the BMJ and PLOS Medicine","volume":"360","author":[{"literal":"Naudet F"},{"literal":"Sakarovitch C"},{"literal":"Janiaud P"},{"literal":"Cristea I"},{"literal":"Fanelli D"},{"literal":"Moher D"},{"literal":"Ioannidis J P. A"}],"issued":{"date-parts":[["2018"]]}},"label":"page"},{"id":29651,"uris":["http://zotero.org/groups/4983756/items/WAY2NIBF"],"itemData":{"id":29651,"type":"article-journal","abstract":"Ongoing technological developments have made it easier than ever before for scientists to share their data, materials, and analysis code. Sharing data and analysis code makes it easier for other researchers to reuse or check published research. However, these benefits will emerge only if researchers can reproduce the analyses reported in published articles and if data are annotated well enough so that it is clear what all variable and value labels mean. Because most researchers are not trained in computational reproducibility, it is important to evaluate current practices to identify those that can be improved. We examined data and code sharing for Registered Reports published in the psychological literature from 2014 to 2018 and attempted to independently computationally reproduce the main results in each article. Of the 62 articles that met our inclusion criteria, 41 had data available, and 37 had analysis scripts available. Both data and code for 36 of the articles were shared. We could run the scripts for 31 analyses, and we reproduced the main results for 21 articles. Although the percentage of articles for which both data and code were shared (36 out of 62, or 58%) and the percentage of articles for which main results could be computationally reproduced (21 out of 36, or 58%) were relatively high compared with the percentages found in other studies, there is clear room for improvement. We provide practical recommendations based on our observations and cite examples of good research practices in the studies whose main results we reproduced. (PsycInfo Database Record (c) 2022 APA, all rights reserved)","container-title":"Advances in Methods and Practices in Psychological Science","DOI":"10.1177/2515245920918872","ISSN":"2515-2459 2515-2467","issue":"2","page":"229-237","title":"Analysis of open data and computational reproducibility in registered reports in psychology","volume":"3","author":[{"literal":"Obels Pepijn"},{"literal":"Lakens Daniel"},{"literal":"Coles Nicholas A"},{"literal":"Gottfried Jaroslav"},{"literal":"Green Seth A"}],"issued":{"date-parts":[["2020"]]}},"label":"page"},{"id":29739,"uris":["http://zotero.org/groups/4983756/items/8KMMHIEL"],"itemData":{"id":29739,"type":"article-journal","abstract":"BACKGROUND: Randomised controlled trials (RCTs) provide the highest-level of evidence among primary research in cardiovascular medicine. Yet, even the best trial may be less useful if it fails to provide an accurate means of reproducibility. Unfortunately, discrepancies in the standards of trial reporting have been persistent in previous trials. The Template for Intervention Description and Replication (TIDieR) checklist aims to improve research efficacy by setting standards for quality intervention reporting and reproducibility. The goal of this study was to assess adherence to the TIDieR checklist among RCTs published in cardiovascular health journals. We also compared the quality of intervention reporting before and after the publication of TIDieR. METHODS: This cross-sectional, methodological study analysed 101 trials published within high-impact cardiology journals. Our primary objective was to assess overall adherence to the TIDieR checklist. Our secondary objective was to use an interrupted time-series analysis to determine if intervention reporting increased following the publication of TIDieR in March 2014. Additionally, we used generalised estimating equations to identify trial characteristics associated with intervention reporting. RESULTS: Trials in our sample reported 8.6/12 TIDieR checklist items, on average. The most under-reported items were those for describing the expertise of the interventionists and for describing the location of the intervention. CONCLUSION: Improved outcome reporting and intervention reproducibility among RCTs are greatly needed in cardiovascular medicine. Clinicians and researchers should advocate for the ethical publication of complete, translatable and replicable clinical research results.","container-title":"BMJ Evidence-based Medicine","DOI":"10.1136/bmjebm-2019-111309","ISSN":"2515-4478","issue":"3","page":"91-97","title":"Intervention reporting of clinical trials published in high-impact cardiology journals: effect of the TIDieR checklist and guide","volume":"26","author":[{"literal":"Palmer W"},{"literal":"Okonya O"},{"literal":"Jellison S"},{"literal":"Horn J"},{"literal":"Harter Z"},{"literal":"Wilkett M"},{"literal":"Vassar M"}],"issued":{"date-parts":[["2021"]]}},"label":"page"},{"id":29690,"uris":["http://zotero.org/groups/4983756/items/H65T38N8"],"itemData":{"id":29690,"type":"article-journal","abstract":"BACKGROUND/AIMS: Deidentified individual participant data (IPD) sharing has been implemented in the International Committee of Medical Journal Editors journals since 2017. However, there were some published clinical trials that did not follow the new implemented policy. This study examines the number of clinical trials that endorsed IPD sharing policy among top ophthalmology journals. METHOD: All published original articles in 2021 in 10 highest-ranking ophthalmology journals according to the 2020 journal impact factor were included. Clinical trials were determined by the WHO definition of clinical trials. Each article was then thoroughly searched for the IPD sharing statement either in the manuscript or in the clinical trial registry. We collected the number of published clinical trials that implemented IPD sharing policy as our primary outcome. RESULTS: 1852 published articles in top 10 ophthalmology journals were identified, and 9.45% were clinical trials. Of these clinical trials, 44% had clinical trial registrations and 49.14% declared IPD sharing statements. Only 42 (48.83%) clinical trials were willing to share IPD, and 5 (10.21%) of these share IPD via an online repository platform. In terms of sharing period, 37 clinical trials were willing to share right after the publication and only 2 showed the ending of sharing period. CONCLUSION: This report shows that the number of clinical trials in top ophthalmology journals that endorsed the IPD sharing policy and the number of registrations is lower than half even though the policy has been implemented for several years. Future updates are necessary as policy evolves.","container-title":"BMJ Open Ophthalmology","DOI":"10.1136/bmjophth-2023-001276","ISSN":"2397-3269","issue":"1","page":"07","title":"Data sharing implementation in top 10 ophthalmology journals in 2021","volume":"8","author":[{"literal":"Ruamviboonsuk V"},{"literal":"Thinkhamrop B"},{"literal":"Kulvichit K"},{"literal":"Tulvatana W"}],"issued":{"date-parts":[["2023"]]}},"label":"page"},{"id":29709,"uris":["http://zotero.org/groups/4983756/items/9IRH7IX5"],"itemData":{"id":29709,"type":"article-journal","abstract":"Background: Many journals now require authors share their data with other investigators, either by depositing the data in a public repository or making it freely available upon request. These policies are explicit, but remain largely untested. We sought to determine how well authors comply with such policies by requesting data from authors who had published in one of two journals with clear data sharing policies. Methods and Findings: We requested data from ten investigators who had published in either PLoS Medicine or PLoS Clinical Trials. All responses were carefully documented. In the event that we were refused data, we reminded authors of the journal's data sharing guidelines. If we did not receive a response to our initial request, a second request was made. Following the ten requests for raw data, three investigators did not respond, four authors responded and refused to share their data, two email addresses were no longer valid, and one author requested further details. A reminder of PLoS's explicit requirement that authors share data did not change the reply from the four authors who initially refused. Only one author sent an original data set. Conclusion(s): We received only one of ten raw data sets requested. This suggests that journal policies requiring data sharing do not lead to authors making their data sets available to independent investigators. © 2009 Savage, Vickers.","container-title":"PLoS ONE","DOI":"10.1371/journal.pone.0007078","ISSN":"1932-6203 (electronic) 1932-6203","page":"e7078","title":"Empirical study of data sharing by authors publishing in PLoS journals","volume":"4(9) (no pagination)","author":[{"literal":"Savage C J"},{"literal":"Vickers A J"}],"issued":{"date-parts":[["2009"]]}},"label":"page"},{"id":29660,"uris":["http://zotero.org/groups/4983756/items/PG9L9B3B"],"itemData":{"id":29660,"type":"article-journal","abstract":"OBJECTIVES: Trial registration has a great potential to increase research transparency and public access to research results. This study examined the availability of results either in journal publications or in the trial registry from all studies registered at ClinicalTrials.gov. METHODS: All 137,612 records from ClinicalTrials.gov in December 2012 were merged with all 19,158 PubMed records containing registration numbers in the indexing field or in the abstracts. A multivariate analysis was conducted to examine the association between the availability of the results with study and participant characteristics available in registration records. RESULTS: Fewer than 10% of the registered studies and 15% of the registered and completed studies had published results. The highest publication rate of 22.4% was for randomized trials completed between 2005 (starting year for structured indexing in PubMed of study registration) and 2010. For 86% of overall and 78% of completed registered studies, no results were available in ClinicalTrials.gov or in journal publications. Studies funded by industry vs. other funding sources and drug studies vs. all studies of other interventions were published less often after adjustment for study type, subject characteristics, or posting of results in ClinicalTrials.gov. CONCLUSION: Existing policy does not ensure availability of results from clinical research. International policy revisions should charge principal investigators with ensuring that the approved protocols and posted data elements are aligned and that results are available from all conducted studies.","container-title":"Journal of Epidemiology and Global Health","DOI":"10.1016/j.jegh.2013.08.002","ISSN":"2210-6014","issue":"1","page":"1-12","title":"Availability of results from clinical research: failing policy efforts","volume":"4","author":[{"literal":"Shamliyan T A"},{"literal":"Kane R L"}],"issued":{"date-parts":[["2014"]]}},"label":"page"},{"id":29696,"uris":["http://zotero.org/groups/4983756/items/INTETY6P"],"itemData":{"id":29696,"type":"article-journal","abstract":"OBJECTIVE: To explore the implementation of the International Committee of Medical Journal Editors (ICMJE) data-sharing policy which came into force on 1 July 2018 by ICMJE-member journals and by ICMJE-affiliated journals declaring they follow the ICMJE recommendations. DESIGN: A cross-sectional survey of data-sharing policies in 2018 on journal websites and in data-sharing statements in randomised controlled trials (RCTs). SETTING: ICMJE website; PubMed/Medline. ELIGIBILITY CRITERIA: ICMJE-member journals and 489 ICMJE-affiliated journals that published an RCT in 2018, had an accessible online website and were not considered as predatory journals according to Beall's list. One hundred RCTs for member journals and 100 RCTs for affiliated journals with a data-sharing policy, submitted after 1 July 2018. MAIN OUTCOME MEASURES: The primary outcome for the policies was the existence of a data-sharing policy (explicit data-sharing policy, no data-sharing policy, policy merely referring to ICMJE recommendations) as reported on the journal website, especially in the instructions for authors. For RCTs, our primary outcome was the intention to share individual participant data set out in the data-sharing statement. RESULTS: Eight (out of 14; 57%) member journals had an explicit data-sharing policy on their website (three were more stringent than the ICMJE requirements, one was less demanding and four were compliant), five (35%) additional journals stated that they followed the ICMJE requirements, and one (8%) had no policy online. In RCTs published in these journals, there were data-sharing statements in 98 out of 100, with expressed intention to share individual patient data reaching 77 out of 100 (77%; 95% CI 67% to 85%). One hundred and forty-five (out of 489) ICMJE-affiliated journals (30%; 26% to 34%) had an explicit data-sharing policy on their website (11 were more stringent than the ICMJE requirements, 85 were less demanding and 49 were compliant) and 276 (56%; 52% to 61%) merely referred to the ICMJE requirements. In RCTs published in affiliated journals with an explicit data-sharing policy, data-sharing statements were rare (25%), and expressed intentions to share data were found in 22% (15% to 32%). CONCLUSION: The implementation of ICMJE data-sharing requirements in online journal policies was suboptimal for ICMJE-member journals and poor for ICMJE-affiliated journals. The implementation of the policy was good in member journals and of concern for affiliated journals. We suggest the conduct of continuous audits of medical journal data-sharing policies in the future. REGISTRATION: The protocol was registered before the start of the research on the Open Science Framework (https://osf.io/n6whd/).","container-title":"BMJ Open","DOI":"10.1136/bmjopen-2020-038887","ISSN":"2044-6055","issue":"5","page":"e038887","title":"Data-sharing recommendations in biomedical journals and randomised controlled trials: an audit of journals following the ICMJE recommendations","volume":"10","author":[{"literal":"Siebert M"},{"literal":"Gaba J F"},{"literal":"Caquelin L"},{"literal":"Gouraud H"},{"literal":"Dupuy A"},{"literal":"Moher D"},{"literal":"Naudet F"}],"issued":{"date-parts":[["2020"]]}},"label":"page"}],"schema":"https://github.com/citation-style-language/schema/raw/master/csl-citation.json"} </w:instrText>
      </w:r>
      <w:r w:rsidR="29A6A53E" w:rsidRPr="008C17AC">
        <w:rPr>
          <w:rFonts w:ascii="Times New Roman" w:eastAsia="Times New Roman" w:hAnsi="Times New Roman" w:cs="Times New Roman"/>
        </w:rPr>
        <w:fldChar w:fldCharType="separate"/>
      </w:r>
      <w:r w:rsidRPr="008C17AC">
        <w:rPr>
          <w:rFonts w:ascii="Times New Roman" w:hAnsi="Times New Roman" w:cs="Times New Roman"/>
        </w:rPr>
        <w:t>[50,53,54,56,62,65–67,69,76,77,81–83,99,103,106,107,114,116,117,119]</w:t>
      </w:r>
      <w:r w:rsidR="29A6A53E" w:rsidRPr="008C17AC">
        <w:rPr>
          <w:rFonts w:ascii="Times New Roman" w:eastAsia="Times New Roman" w:hAnsi="Times New Roman" w:cs="Times New Roman"/>
        </w:rPr>
        <w:fldChar w:fldCharType="end"/>
      </w:r>
      <w:r w:rsidRPr="008C17AC">
        <w:rPr>
          <w:rFonts w:ascii="Times New Roman" w:eastAsia="Times New Roman" w:hAnsi="Times New Roman" w:cs="Times New Roman"/>
        </w:rPr>
        <w:t xml:space="preserve">. </w:t>
      </w:r>
    </w:p>
    <w:p w14:paraId="114DC79E" w14:textId="10B2F09E" w:rsidR="765E155D" w:rsidRPr="008C17AC" w:rsidRDefault="400C1634" w:rsidP="1A6C9FDE">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u w:val="single"/>
        </w:rPr>
        <w:t>Demonstration of a</w:t>
      </w:r>
      <w:r w:rsidR="7C301651" w:rsidRPr="008C17AC">
        <w:rPr>
          <w:rFonts w:ascii="Times New Roman" w:eastAsia="Times New Roman" w:hAnsi="Times New Roman" w:cs="Times New Roman"/>
          <w:u w:val="single"/>
        </w:rPr>
        <w:t xml:space="preserve"> tool</w:t>
      </w:r>
      <w:r w:rsidRPr="008C17AC">
        <w:rPr>
          <w:rFonts w:ascii="Times New Roman" w:eastAsia="Times New Roman" w:hAnsi="Times New Roman" w:cs="Times New Roman"/>
          <w:u w:val="single"/>
        </w:rPr>
        <w:t xml:space="preserve"> (n=6 studies):</w:t>
      </w:r>
      <w:r w:rsidRPr="008C17AC">
        <w:rPr>
          <w:rFonts w:ascii="Times New Roman" w:eastAsia="Times New Roman" w:hAnsi="Times New Roman" w:cs="Times New Roman"/>
        </w:rPr>
        <w:t xml:space="preserve"> these are studies that apply a certain tool, technique, statistical solution or workflow to one or more use cases </w:t>
      </w:r>
      <w:r w:rsidR="29A6A53E" w:rsidRPr="008C17AC">
        <w:rPr>
          <w:rFonts w:ascii="Times New Roman" w:eastAsia="Times New Roman" w:hAnsi="Times New Roman" w:cs="Times New Roman"/>
        </w:rPr>
        <w:fldChar w:fldCharType="begin"/>
      </w:r>
      <w:r w:rsidR="29A6A53E" w:rsidRPr="008C17AC">
        <w:rPr>
          <w:rFonts w:ascii="Times New Roman" w:eastAsia="Times New Roman" w:hAnsi="Times New Roman" w:cs="Times New Roman"/>
        </w:rPr>
        <w:instrText xml:space="preserve"> ADDIN ZOTERO_ITEM CSL_CITATION {"citationID":"S7EhJVuR","properties":{"formattedCitation":"[51,61,89,91,95,122]","plainCitation":"[51,61,89,91,95,122]","noteIndex":0},"citationItems":[{"id":29767,"uris":["http://zotero.org/groups/4983756/items/QZAFC6D8"],"itemData":{"id":29767,"type":"article-journal","abstract":"Inconsistent findings between laboratories are hampering scientific progress and are of increasing public concern. Differences in laboratory environment is a known factor contributing to poor reproducibility of findings between research sites, and well-controlled multisite efforts are an important next step to identify the relevant factors needed to reduce variation in study outcome between laboratories. Through harmonization of apparatus, test protocol, and aligned and non-aligned environmental variables, the present study shows that behavioral pharmacological responses in Shank2 knockout (KO) rats, a model of synaptic dysfunction relevant to autism spectrum disorders, were highly replicable across three research centers. All three sites reliably observed a hyperactive and repetitive behavioral phenotype in KO rats compared to their wild-type littermates as well as a dose-dependent phenotype attenuation following acute injections of a selective mGluR1 antagonist. These results show that reproducibility in preclinical studies can be obtained and emphasizes the need for high quality and rigorous methodologies in scientific research. Considering the observed external validity, the present study also suggests mGluR1 as potential target for the treatment of autism spectrum disorders.","container-title":"Scientific Reports","DOI":"10.1038/s41598-019-47981-0","ISSN":"2045-2322","page":"11602","title":"Reproducibility via coordinated standardization: a multi-center study in a Shank2 genetic rat model for Autism Spectrum Disorders","volume":"9","author":[{"literal":"Arroyo-Araujo M"},{"literal":"Graf R"},{"literal":"Maco M"},{"literal":"van Dam E"},{"literal":"Schenker E"},{"literal":"Drinkenburg W"},{"literal":"Koopmans B"},{"literal":"de Boer S F"},{"literal":"Cullum-Doyle M"},{"literal":"Noldus Lpjj"},{"literal":"Loos M"},{"literal":"van Dommelen W"},{"literal":"Spooren W"},{"literal":"Biemans B"},{"literal":"Buhl D L"},{"literal":"Kas M J"}],"issued":{"date-parts":[["2019"]]}}},{"id":29763,"uris":["http://zotero.org/groups/4983756/items/WA29YIG7"],"itemData":{"id":29763,"type":"article-journal","abstract":"A complete declarative description of the computational environment is usually missing when researchers share their materials. Without such description, software obsolescence and missing system components can jeopardize computational reproducibility in the future, even when data and computer code are available. The R package rang is a complete solution for generating the declarative description for other researchers to automatically reconstruct the computational environment at a specific time point. The reconstruction process, based on Docker, has been tested for R code as old as 2001. The declarative description generated by rang satisfies the definition of a reproducible research compendium and can be shared as such. In this contribution, we show how rang can be used to make otherwise unexecutable code, spanning fields such as computational social science and bioinformatics, executable again. We also provide instructions on how to use rang to construct reproducible and shareable research compendia of current research. The package is currently available from CRAN (https://cran.r-project.org/web/packages/rang/index.html) and GitHub (https://github.com/chainsawriot/rang).","container-title":"PLoS ONE [Electronic Resource]","DOI":"10.1371/journal.pone.0286761","ISSN":"1932-6203","issue":"6","page":"e0286761","title":"rang: Reconstructing reproducible R computational environments","volume":"18","author":[{"literal":"Chan C H"},{"literal":"Schoch D"}],"issued":{"date-parts":[["2023"]]}}},{"id":29641,"uris":["http://zotero.org/groups/4983756/items/MFFPNQCY"],"itemData":{"id":29641,"type":"article-journal","abstract":"The utility of mouse and rat studies critically depends on their replicability in other laboratories. A widely advocated approach to improving replicability is through the rigorous control of predefined animal or experimental conditions, known as standardization. However, this approach limits the generalizability of the findings to only to the standardized conditions and is a potential cause rather than solution to what has been called a replicability crisis. Alternative strategies include estimating the heterogeneity of effects across laboratories, either through designs that vary testing conditions, or by direct statistical analysis of laboratory variation. We previously evaluated our statistical approach for estimating the interlaboratory replicability of a single laboratory discovery. Those results, however, were from a well-coordinated, multi-lab phenotyping study and did not extend to the more realistic setting in which laboratories are operating independently of each other. Here, we sought to test our statistical approach as a realistic prospective experiment, in mice, using 152 results from 5 independent published studies deposited in the Mouse Phenome Database (MPD). In independent replication experiments at 3 laboratories, we found that 53 of the results were replicable, so the other 99 were considered non-replicable. Of the 99 non-replicable results, 59 were statistically significant (at 0.05) in their original single-lab analysis, putting the probability that a single-lab statistical discovery was made even though it is non-replicable, at 59.6%. We then introduced the dimensionless \"Genotype-by-Laboratory\" (GxL) factor-the ratio between the standard deviations of the GxL interaction and the standard deviation within groups. Using the GxL factor reduced the number of single-lab statistical discoveries and alongside reduced the probability of a non-replicable result to be discovered in the single lab to 12.1%. Such reduction naturally leads to reduced power to make replicable discoveries, but this reduction was small (from 87% to 66%), indicating the small price paid for the large improvement in replicability. Tools and data needed for the above GxL adjustment are publicly available at the MPD and will become increasingly useful as the range of assays and testing conditions in this resource increases.","container-title":"Plos Biology","DOI":"10.1371/journal.pbio.3002082","ISSN":"1545-7885","issue":"5","page":"e3002082","title":"A multi-lab experimental assessment reveals that replicability can be improved by using empirical estimates of genotype-by-lab interaction","volume":"21","author":[{"literal":"Jaljuli I"},{"literal":"Kafkafi N"},{"literal":"Giladi E"},{"literal":"Golani I"},{"literal":"Gozes I"},{"literal":"Chesler E J"},{"literal":"Bogue M A"},{"literal":"Benjamini Y"}],"issued":{"date-parts":[["2023"]]}}},{"id":29633,"uris":["http://zotero.org/groups/4983756/items/VL2APV8I"],"itemData":{"id":29633,"type":"article-journal","abstract":"This article reports results of a field experiment in which two hundred e-mails were sent to authors of recent articles in economics that had promised to send the interested reader supplementary material, such as alternative econometric specifications, \"upon request.\" The e-mails were sent either by a researcher affiliated at Columbia University, New York or the University of Warsaw, Poland; furthermore, the authors' position (assistant professor) was specified in half the e-mails only. Overall, 64% of the approached authors responded to our message, of which two thirds (44% of the entire sample) delivered the requested materials. The frequency and speed of responding and delivering were very weakly affected by the position and affiliation of the sender. Gender or affiliation of the author, number of citations or journal impact factor or the type of object in question seemed to make no difference. However, authors of published articles were much more likely to share than authors of working papers.","issue":"3","page":"175-186","title":"(Un)available upon request: field experiment on researchers' willingness to share supplementary materials","volume":"1","author":[{"literal":"Krawczyk M"},{"literal":"Reuben E"}],"issued":{"date-parts":[["2012"]]}}},{"id":29769,"uris":["http://zotero.org/groups/4983756/items/U6JD7RUC"],"itemData":{"id":29769,"type":"article-journal","abstract":"Big biomedical data create exciting opportunities for discovery, but make it difficult to capture analyses and outputs in forms that are findable, accessible, interoperable, and reusable (FAIR). In response, we describe tools that make it easy to capture, and assign identifiers to, data and code throughout the data lifecycle. We illustrate the use of these tools via a case study involving a multi-step analysis that creates an atlas of putative transcription factor binding sites from terabytes of ENCODE DNase I hypersensitive sites sequencing data. We show how the tools automate routine but complex tasks, capture analysis algorithms in understandable and reusable forms, and harness fast networks and powerful cloud computers to process data rapidly, all without sacrificing usability or reproducibility-thus ensuring that big data are not hard-to-(re)use data. We evaluate our approach via a user study, and show that 91% of participants were able to replicate a complex analysis involving considerable data volumes.","container-title":"PLoS ONE [Electronic Resource]","DOI":"10.1371/journal.pone.0213013","ISSN":"1932-6203","issue":"4","page":"e0213013","title":"Reproducible big data science: A case study in continuous FAIRness","volume":"14","author":[{"literal":"Madduri R"},{"literal":"Chard K"},{"literal":"D'Arcy M"},{"literal":"Jung S C"},{"literal":"Rodriguez A"},{"literal":"Sulakhe D"},{"literal":"Deutsch E"},{"literal":"Funk C"},{"literal":"Heavner B"},{"literal":"Richards M"},{"literal":"Shannon P"},{"literal":"Glusman G"},{"literal":"Price N"},{"literal":"Kesselman C"},{"literal":"Foster I"}],"issued":{"date-parts":[["2019"]]}}},{"id":29635,"uris":["http://zotero.org/groups/4983756/items/S8539RFP"],"itemData":{"id":29635,"type":"article-journal","abstract":"BACKGROUND: Sharing health data is challenging because of several technical, ethical, and regulatory issues. The Findable, Accessible, Interoperable, and Reusable (FAIR) guiding principles have been conceptualized to enable data interoperability. Many studies provide implementation guidelines, assessment metrics, and software to achieve FAIR-compliant data, especially for health data sets. Health Level 7 (HL7) Fast Healthcare Interoperability Resources (FHIR) is a health data content modeling and exchange standard. OBJECTIVE: Our goal was to devise a new methodology to extract, transform, and load existing health data sets into HL7 FHIR repositories in line with FAIR principles, develop a Data Curation Tool to implement the methodology, and evaluate it on health data sets from 2 different but complementary institutions. We aimed to increase the level of compliance with FAIR principles of existing health data sets through standardization and facilitate health data sharing by eliminating the associated technical barriers. METHODS: Our approach automatically processes the capabilities of a given FHIR end point and directs the user while configuring mappings according to the rules enforced by FHIR profile definitions. Code system mappings can be configured for terminology translations through automatic use of FHIR resources. The validity of the created FHIR resources can be automatically checked, and the software does not allow invalid resources to be persisted. At each stage of our data transformation methodology, we used particular FHIR-based techniques so that the resulting data set could be evaluated as FAIR. We performed a data-centric evaluation of our methodology on health data sets from 2 different institutions. RESULTS: Through an intuitive graphical user interface, users are prompted to configure the mappings into FHIR resource types with respect to the restrictions of selected profiles. Once the mappings are developed, our approach can syntactically and semantically transform existing health data sets into HL7 FHIR without loss of data utility according to our privacy-concerned criteria. In addition to the mapped resource types, behind the scenes, we create additional FHIR resources to satisfy several FAIR criteria. According to the data maturity indicators and evaluation methods of the FAIR Data Maturity Model, we achieved the maximum level (level 5) for being Findable, Accessible, and Interoperable and level 3 for being Reusable. CONCLUSIONS: We developed and extensively evaluated our data transformation approach to unlock the value of existing health data residing in disparate data silos to make them available for sharing according to the FAIR principles. We showed that our method can successfully transform existing health data sets into HL7 FHIR without loss of data utility, and the result is FAIR in terms of the FAIR Data Maturity Model. We support institutional migration to HL7 FHIR, which not only leads to FAIR data sharing but also eases the integration with different research networks.","container-title":"Journal of Medical Internet Research","DOI":"10.2196/42822","ISSN":"1438-8871","page":"e42822","title":"A Data Transformation Methodology to Create Findable, Accessible, Interoperable, and Reusable Health Data: Software Design, Development, and Evaluation Study","volume":"25","author":[{"literal":"Sinaci A A"},{"literal":"Gencturk M"},{"literal":"Teoman H A"},{"literal":"Laleci Erturkmen"},{"literal":"G B"},{"literal":"Alvarez-Romero C"},{"literal":"Martinez-Garcia A"},{"literal":"Poblador-Plou B"},{"literal":"Carmona-Pirez J"},{"literal":"Lobe M"},{"literal":"Parra-Calderon C L"}],"issued":{"date-parts":[["2023"]]}}}],"schema":"https://github.com/citation-style-language/schema/raw/master/csl-citation.json"} </w:instrText>
      </w:r>
      <w:r w:rsidR="29A6A53E" w:rsidRPr="008C17AC">
        <w:rPr>
          <w:rFonts w:ascii="Times New Roman" w:eastAsia="Times New Roman" w:hAnsi="Times New Roman" w:cs="Times New Roman"/>
        </w:rPr>
        <w:fldChar w:fldCharType="separate"/>
      </w:r>
      <w:r w:rsidRPr="008C17AC">
        <w:rPr>
          <w:rFonts w:ascii="Times New Roman" w:hAnsi="Times New Roman" w:cs="Times New Roman"/>
        </w:rPr>
        <w:t>[51,61,89,91,95,122]</w:t>
      </w:r>
      <w:r w:rsidR="29A6A53E" w:rsidRPr="008C17AC">
        <w:rPr>
          <w:rFonts w:ascii="Times New Roman" w:eastAsia="Times New Roman" w:hAnsi="Times New Roman" w:cs="Times New Roman"/>
        </w:rPr>
        <w:fldChar w:fldCharType="end"/>
      </w:r>
      <w:r w:rsidRPr="008C17AC">
        <w:rPr>
          <w:rFonts w:ascii="Times New Roman" w:eastAsia="Times New Roman" w:hAnsi="Times New Roman" w:cs="Times New Roman"/>
        </w:rPr>
        <w:t>. The</w:t>
      </w:r>
      <w:r w:rsidR="3D4AAE66" w:rsidRPr="008C17AC">
        <w:rPr>
          <w:rFonts w:ascii="Times New Roman" w:eastAsia="Times New Roman" w:hAnsi="Times New Roman" w:cs="Times New Roman"/>
        </w:rPr>
        <w:t>se studies are</w:t>
      </w:r>
      <w:r w:rsidRPr="008C17AC">
        <w:rPr>
          <w:rFonts w:ascii="Times New Roman" w:eastAsia="Times New Roman" w:hAnsi="Times New Roman" w:cs="Times New Roman"/>
        </w:rPr>
        <w:t xml:space="preserve"> often limited to one project team, </w:t>
      </w:r>
      <w:r w:rsidR="2B000BB3" w:rsidRPr="008C17AC">
        <w:rPr>
          <w:rFonts w:ascii="Times New Roman" w:eastAsia="Times New Roman" w:hAnsi="Times New Roman" w:cs="Times New Roman"/>
        </w:rPr>
        <w:t>applying the intervention to themselves</w:t>
      </w:r>
      <w:r w:rsidRPr="008C17AC">
        <w:rPr>
          <w:rFonts w:ascii="Times New Roman" w:eastAsia="Times New Roman" w:hAnsi="Times New Roman" w:cs="Times New Roman"/>
        </w:rPr>
        <w:t>.</w:t>
      </w:r>
    </w:p>
    <w:p w14:paraId="327B4904" w14:textId="1EBDB38E" w:rsidR="765E155D" w:rsidRPr="008C17AC" w:rsidRDefault="73338FC8" w:rsidP="23EF21E2">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u w:val="single"/>
        </w:rPr>
        <w:t>Other</w:t>
      </w:r>
      <w:r w:rsidRPr="008C17AC">
        <w:rPr>
          <w:rFonts w:ascii="Times New Roman" w:eastAsia="Times New Roman" w:hAnsi="Times New Roman" w:cs="Times New Roman"/>
        </w:rPr>
        <w:t>: there was one individual participant meta-analysis</w:t>
      </w:r>
      <w:r w:rsidR="6CA72208" w:rsidRPr="008C17AC">
        <w:rPr>
          <w:rFonts w:ascii="Times New Roman" w:eastAsia="Times New Roman" w:hAnsi="Times New Roman" w:cs="Times New Roman"/>
        </w:rPr>
        <w:t xml:space="preserve"> </w:t>
      </w:r>
      <w:r w:rsidR="29A6A53E" w:rsidRPr="008C17AC">
        <w:rPr>
          <w:rFonts w:ascii="Times New Roman" w:eastAsia="Times New Roman" w:hAnsi="Times New Roman" w:cs="Times New Roman"/>
        </w:rPr>
        <w:fldChar w:fldCharType="begin"/>
      </w:r>
      <w:r w:rsidR="29A6A53E" w:rsidRPr="008C17AC">
        <w:rPr>
          <w:rFonts w:ascii="Times New Roman" w:eastAsia="Times New Roman" w:hAnsi="Times New Roman" w:cs="Times New Roman"/>
        </w:rPr>
        <w:instrText xml:space="preserve"> ADDIN ZOTERO_ITEM CSL_CITATION {"citationID":"Tqmgq31n","properties":{"formattedCitation":"[80]","plainCitation":"[80]","noteIndex":0},"citationItems":[{"id":29755,"uris":["http://zotero.org/groups/4983756/items/RQBPNDEJ"],"itemData":{"id":29755,"type":"article-journal","abstract":"OBJECTIVES: To synthesise research investigating data and code sharing in medicine and health to establish an accurate representation of the prevalence of sharing, how this frequency has changed over time, and what factors influence availability. DESIGN: Systematic review with meta-analysis of individual participant data. DATA SOURCES: Ovid Medline, Ovid Embase, and the preprint servers medRxiv, bioRxiv, and MetaArXiv were searched from inception to 1 July 2021. Forward citation searches were also performed on 30 August 2022. REVIEW METHODS: Meta-research studies that investigated data or code sharing across a sample of scientific articles presenting original medical and health research were identified. Two authors screened records, assessed the risk of bias, and extracted summary data from study reports when individual participant data could not be retrieved. Key outcomes of interest were the prevalence of statements that declared that data or code were publicly or privately available (declared availability) and the success rates of retrieving these products (actual availability). The associations between data and code availability and several factors (eg, journal policy, type of data, trial design, and human participants) were also examined. A two stage approach to meta-analysis of individual participant data was performed, with proportions and risk ratios pooled with the Hartung-Knapp-Sidik-Jonkman method for random effects meta-analysis. RESULTS: The review included 105 meta-research studies examining 2 121 580 articles across 31 specialties. Eligible studies examined a median of 195 primary articles (interquartile range 113-475), with a median publication year of 2015 (interquartile range 2012-2018). Only eight studies (8%) were classified as having a low risk of bias. Meta-analyses showed a prevalence of declared and actual public data availability of 8% (95% confidence interval 5% to 11%) and 2% (1% to 3%), respectively, between 2016 and 2021. For public code sharing, both the prevalence of declared and actual availability were estimated to be &lt;0.5% since 2016. Meta-regressions indicated that only declared public data sharing prevalence estimates have increased over time. Compliance with mandatory data sharing policies ranged from 0% to 100% across journals and varied by type of data. In contrast, success in privately obtaining data and code from authors historically ranged between 0% and 37% and 0% and 23%, respectively. CONCLUSIONS: The review found that public code sharing was persistently low across medical research. Declarations of data sharing were also low, increasing over time, but did not always correspond to actual sharing of data. The effectiveness of mandatory data sharing policies varied substantially by journal and type of data, a finding that might be informative for policy makers when designing policies and allocating resources to audit compliance. SYSTEMATIC REVIEW REGISTRATION: Open Science Framework doi:10.17605/OSF.IO/7SX8U.","container-title":"BMJ","DOI":"10.1136/bmj-2023-075767","ISSN":"1756-1833","page":"e075767","title":"Prevalence and predictors of data and code sharing in the medical and health sciences: systematic review with meta-analysis of individual participant data","volume":"382","author":[{"literal":"Hamilton D G"},{"literal":"Hong K"},{"literal":"Fraser H"},{"literal":"Rowhani-Farid A"},{"literal":"Fidler F"},{"literal":"Page M J"}],"issued":{"date-parts":[["2023"]]}}}],"schema":"https://github.com/citation-style-language/schema/raw/master/csl-citation.json"} </w:instrText>
      </w:r>
      <w:r w:rsidR="29A6A53E" w:rsidRPr="008C17AC">
        <w:rPr>
          <w:rFonts w:ascii="Times New Roman" w:eastAsia="Times New Roman" w:hAnsi="Times New Roman" w:cs="Times New Roman"/>
        </w:rPr>
        <w:fldChar w:fldCharType="separate"/>
      </w:r>
      <w:r w:rsidR="6CA72208" w:rsidRPr="008C17AC">
        <w:rPr>
          <w:rFonts w:ascii="Times New Roman" w:hAnsi="Times New Roman" w:cs="Times New Roman"/>
        </w:rPr>
        <w:t>[80]</w:t>
      </w:r>
      <w:r w:rsidR="29A6A53E" w:rsidRPr="008C17AC">
        <w:rPr>
          <w:rFonts w:ascii="Times New Roman" w:eastAsia="Times New Roman" w:hAnsi="Times New Roman" w:cs="Times New Roman"/>
        </w:rPr>
        <w:fldChar w:fldCharType="end"/>
      </w:r>
      <w:r w:rsidR="236D9E14" w:rsidRPr="008C17AC">
        <w:rPr>
          <w:rFonts w:ascii="Times New Roman" w:eastAsia="Times New Roman" w:hAnsi="Times New Roman" w:cs="Times New Roman"/>
        </w:rPr>
        <w:t>, which inves</w:t>
      </w:r>
      <w:r w:rsidR="19051FF9" w:rsidRPr="008C17AC">
        <w:rPr>
          <w:rFonts w:ascii="Times New Roman" w:eastAsia="Times New Roman" w:hAnsi="Times New Roman" w:cs="Times New Roman"/>
        </w:rPr>
        <w:t>t</w:t>
      </w:r>
      <w:r w:rsidR="236D9E14" w:rsidRPr="008C17AC">
        <w:rPr>
          <w:rFonts w:ascii="Times New Roman" w:eastAsia="Times New Roman" w:hAnsi="Times New Roman" w:cs="Times New Roman"/>
        </w:rPr>
        <w:t>igated</w:t>
      </w:r>
      <w:r w:rsidR="3EFC19FB" w:rsidRPr="008C17AC">
        <w:rPr>
          <w:rFonts w:ascii="Times New Roman" w:eastAsia="Times New Roman" w:hAnsi="Times New Roman" w:cs="Times New Roman"/>
        </w:rPr>
        <w:t xml:space="preserve"> associations between </w:t>
      </w:r>
      <w:r w:rsidR="1C83CD76" w:rsidRPr="008C17AC">
        <w:rPr>
          <w:rFonts w:ascii="Times New Roman" w:eastAsia="Times New Roman" w:hAnsi="Times New Roman" w:cs="Times New Roman"/>
        </w:rPr>
        <w:t xml:space="preserve">data availability statements and actual </w:t>
      </w:r>
      <w:r w:rsidR="3EFC19FB" w:rsidRPr="008C17AC">
        <w:rPr>
          <w:rFonts w:ascii="Times New Roman" w:eastAsia="Times New Roman" w:hAnsi="Times New Roman" w:cs="Times New Roman"/>
        </w:rPr>
        <w:t>data availability</w:t>
      </w:r>
      <w:r w:rsidR="408F2D58" w:rsidRPr="008C17AC">
        <w:rPr>
          <w:rFonts w:ascii="Times New Roman" w:eastAsia="Times New Roman" w:hAnsi="Times New Roman" w:cs="Times New Roman"/>
        </w:rPr>
        <w:t xml:space="preserve">, </w:t>
      </w:r>
      <w:r w:rsidR="3EFC19FB" w:rsidRPr="008C17AC">
        <w:rPr>
          <w:rFonts w:ascii="Times New Roman" w:eastAsia="Times New Roman" w:hAnsi="Times New Roman" w:cs="Times New Roman"/>
        </w:rPr>
        <w:t xml:space="preserve">and </w:t>
      </w:r>
      <w:r w:rsidR="7FE6ACC0" w:rsidRPr="008C17AC">
        <w:rPr>
          <w:rFonts w:ascii="Times New Roman" w:eastAsia="Times New Roman" w:hAnsi="Times New Roman" w:cs="Times New Roman"/>
        </w:rPr>
        <w:t xml:space="preserve">associations with </w:t>
      </w:r>
      <w:r w:rsidR="3EFC19FB" w:rsidRPr="008C17AC">
        <w:rPr>
          <w:rFonts w:ascii="Times New Roman" w:eastAsia="Times New Roman" w:hAnsi="Times New Roman" w:cs="Times New Roman"/>
        </w:rPr>
        <w:t xml:space="preserve">several </w:t>
      </w:r>
      <w:r w:rsidR="4C31ADAF" w:rsidRPr="008C17AC">
        <w:rPr>
          <w:rFonts w:ascii="Times New Roman" w:eastAsia="Times New Roman" w:hAnsi="Times New Roman" w:cs="Times New Roman"/>
        </w:rPr>
        <w:t xml:space="preserve">other </w:t>
      </w:r>
      <w:r w:rsidR="3EFC19FB" w:rsidRPr="008C17AC">
        <w:rPr>
          <w:rFonts w:ascii="Times New Roman" w:eastAsia="Times New Roman" w:hAnsi="Times New Roman" w:cs="Times New Roman"/>
        </w:rPr>
        <w:t>factors (e</w:t>
      </w:r>
      <w:r w:rsidR="254E9154" w:rsidRPr="008C17AC">
        <w:rPr>
          <w:rFonts w:ascii="Times New Roman" w:eastAsia="Times New Roman" w:hAnsi="Times New Roman" w:cs="Times New Roman"/>
        </w:rPr>
        <w:t>.</w:t>
      </w:r>
      <w:r w:rsidR="3EFC19FB" w:rsidRPr="008C17AC">
        <w:rPr>
          <w:rFonts w:ascii="Times New Roman" w:eastAsia="Times New Roman" w:hAnsi="Times New Roman" w:cs="Times New Roman"/>
        </w:rPr>
        <w:t>g</w:t>
      </w:r>
      <w:r w:rsidR="12E9EC0B" w:rsidRPr="008C17AC">
        <w:rPr>
          <w:rFonts w:ascii="Times New Roman" w:eastAsia="Times New Roman" w:hAnsi="Times New Roman" w:cs="Times New Roman"/>
        </w:rPr>
        <w:t>.</w:t>
      </w:r>
      <w:r w:rsidR="3EFC19FB" w:rsidRPr="008C17AC">
        <w:rPr>
          <w:rFonts w:ascii="Times New Roman" w:eastAsia="Times New Roman" w:hAnsi="Times New Roman" w:cs="Times New Roman"/>
        </w:rPr>
        <w:t>, journal policy, type of data, trial design, and human participants)</w:t>
      </w:r>
      <w:r w:rsidR="776AB119" w:rsidRPr="008C17AC">
        <w:rPr>
          <w:rFonts w:ascii="Times New Roman" w:eastAsia="Times New Roman" w:hAnsi="Times New Roman" w:cs="Times New Roman"/>
        </w:rPr>
        <w:t>.</w:t>
      </w:r>
      <w:r w:rsidR="18D48FA8" w:rsidRPr="008C17AC">
        <w:rPr>
          <w:rFonts w:ascii="Times New Roman" w:eastAsia="Times New Roman" w:hAnsi="Times New Roman" w:cs="Times New Roman"/>
        </w:rPr>
        <w:t xml:space="preserve"> </w:t>
      </w:r>
    </w:p>
    <w:p w14:paraId="02D47E78" w14:textId="4C6F3BF7" w:rsidR="00784461" w:rsidRPr="008C17AC" w:rsidRDefault="5A9C1F86" w:rsidP="1A6C9FDE">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rPr>
        <w:t>The unit of analys</w:t>
      </w:r>
      <w:r w:rsidR="27D1B516" w:rsidRPr="008C17AC">
        <w:rPr>
          <w:rFonts w:ascii="Times New Roman" w:eastAsia="Times New Roman" w:hAnsi="Times New Roman" w:cs="Times New Roman"/>
        </w:rPr>
        <w:t>i</w:t>
      </w:r>
      <w:r w:rsidRPr="008C17AC">
        <w:rPr>
          <w:rFonts w:ascii="Times New Roman" w:eastAsia="Times New Roman" w:hAnsi="Times New Roman" w:cs="Times New Roman"/>
        </w:rPr>
        <w:t xml:space="preserve">s for </w:t>
      </w:r>
      <w:r w:rsidR="14352EF5" w:rsidRPr="008C17AC">
        <w:rPr>
          <w:rFonts w:ascii="Times New Roman" w:eastAsia="Times New Roman" w:hAnsi="Times New Roman" w:cs="Times New Roman"/>
        </w:rPr>
        <w:t>77</w:t>
      </w:r>
      <w:r w:rsidR="0F61090B" w:rsidRPr="008C17AC">
        <w:rPr>
          <w:rFonts w:ascii="Times New Roman" w:eastAsia="Times New Roman" w:hAnsi="Times New Roman" w:cs="Times New Roman"/>
        </w:rPr>
        <w:t xml:space="preserve"> of the 1</w:t>
      </w:r>
      <w:r w:rsidR="14352EF5" w:rsidRPr="008C17AC">
        <w:rPr>
          <w:rFonts w:ascii="Times New Roman" w:eastAsia="Times New Roman" w:hAnsi="Times New Roman" w:cs="Times New Roman"/>
        </w:rPr>
        <w:t xml:space="preserve">04 </w:t>
      </w:r>
      <w:r w:rsidRPr="008C17AC">
        <w:rPr>
          <w:rFonts w:ascii="Times New Roman" w:eastAsia="Times New Roman" w:hAnsi="Times New Roman" w:cs="Times New Roman"/>
        </w:rPr>
        <w:t>included studies was a published article</w:t>
      </w:r>
      <w:r w:rsidR="6C0ACBEF" w:rsidRPr="008C17AC">
        <w:rPr>
          <w:rFonts w:ascii="Times New Roman" w:eastAsia="Times New Roman" w:hAnsi="Times New Roman" w:cs="Times New Roman"/>
        </w:rPr>
        <w:t xml:space="preserve"> (of which 13 </w:t>
      </w:r>
      <w:r w:rsidR="562AB692" w:rsidRPr="008C17AC">
        <w:rPr>
          <w:rFonts w:ascii="Times New Roman" w:eastAsia="Times New Roman" w:hAnsi="Times New Roman" w:cs="Times New Roman"/>
        </w:rPr>
        <w:t>were limited only</w:t>
      </w:r>
      <w:r w:rsidR="6C0ACBEF" w:rsidRPr="008C17AC">
        <w:rPr>
          <w:rFonts w:ascii="Times New Roman" w:eastAsia="Times New Roman" w:hAnsi="Times New Roman" w:cs="Times New Roman"/>
        </w:rPr>
        <w:t xml:space="preserve"> to clinical trials)</w:t>
      </w:r>
      <w:r w:rsidR="2AC15DBD" w:rsidRPr="008C17AC">
        <w:rPr>
          <w:rFonts w:ascii="Times New Roman" w:eastAsia="Times New Roman" w:hAnsi="Times New Roman" w:cs="Times New Roman"/>
        </w:rPr>
        <w:t xml:space="preserve">. In these 77 studies, the number of articles investigated </w:t>
      </w:r>
      <w:r w:rsidRPr="008C17AC">
        <w:rPr>
          <w:rFonts w:ascii="Times New Roman" w:eastAsia="Times New Roman" w:hAnsi="Times New Roman" w:cs="Times New Roman"/>
        </w:rPr>
        <w:t xml:space="preserve">ranged </w:t>
      </w:r>
      <w:r w:rsidR="715DB280" w:rsidRPr="008C17AC">
        <w:rPr>
          <w:rFonts w:ascii="Times New Roman" w:eastAsia="Times New Roman" w:hAnsi="Times New Roman" w:cs="Times New Roman"/>
        </w:rPr>
        <w:t>from</w:t>
      </w:r>
      <w:r w:rsidRPr="008C17AC">
        <w:rPr>
          <w:rFonts w:ascii="Times New Roman" w:eastAsia="Times New Roman" w:hAnsi="Times New Roman" w:cs="Times New Roman"/>
        </w:rPr>
        <w:t xml:space="preserve"> </w:t>
      </w:r>
      <w:r w:rsidR="14352EF5" w:rsidRPr="008C17AC">
        <w:rPr>
          <w:rFonts w:ascii="Times New Roman" w:eastAsia="Times New Roman" w:hAnsi="Times New Roman" w:cs="Times New Roman"/>
        </w:rPr>
        <w:t xml:space="preserve">3 </w:t>
      </w:r>
      <w:r w:rsidR="65B22544" w:rsidRPr="008C17AC">
        <w:rPr>
          <w:rFonts w:ascii="Times New Roman" w:eastAsia="Times New Roman" w:hAnsi="Times New Roman" w:cs="Times New Roman"/>
        </w:rPr>
        <w:t>to 2,121,580</w:t>
      </w:r>
      <w:r w:rsidRPr="008C17AC">
        <w:rPr>
          <w:rFonts w:ascii="Times New Roman" w:eastAsia="Times New Roman" w:hAnsi="Times New Roman" w:cs="Times New Roman"/>
        </w:rPr>
        <w:t xml:space="preserve">. </w:t>
      </w:r>
      <w:r w:rsidR="5C35721C" w:rsidRPr="008C17AC">
        <w:rPr>
          <w:rFonts w:ascii="Times New Roman" w:eastAsia="Times New Roman" w:hAnsi="Times New Roman" w:cs="Times New Roman"/>
        </w:rPr>
        <w:t>O</w:t>
      </w:r>
      <w:r w:rsidR="29143344" w:rsidRPr="008C17AC">
        <w:rPr>
          <w:rFonts w:ascii="Times New Roman" w:eastAsia="Times New Roman" w:hAnsi="Times New Roman" w:cs="Times New Roman"/>
        </w:rPr>
        <w:t>ther units of analysis</w:t>
      </w:r>
      <w:r w:rsidR="37E7552A" w:rsidRPr="008C17AC">
        <w:rPr>
          <w:rFonts w:ascii="Times New Roman" w:eastAsia="Times New Roman" w:hAnsi="Times New Roman" w:cs="Times New Roman"/>
        </w:rPr>
        <w:t xml:space="preserve"> included</w:t>
      </w:r>
      <w:r w:rsidR="29143344" w:rsidRPr="008C17AC">
        <w:rPr>
          <w:rFonts w:ascii="Times New Roman" w:eastAsia="Times New Roman" w:hAnsi="Times New Roman" w:cs="Times New Roman"/>
        </w:rPr>
        <w:t xml:space="preserve"> were abstracts, analyses, data</w:t>
      </w:r>
      <w:r w:rsidR="4601213E" w:rsidRPr="008C17AC">
        <w:rPr>
          <w:rFonts w:ascii="Times New Roman" w:eastAsia="Times New Roman" w:hAnsi="Times New Roman" w:cs="Times New Roman"/>
        </w:rPr>
        <w:t>sets</w:t>
      </w:r>
      <w:r w:rsidR="29143344" w:rsidRPr="008C17AC">
        <w:rPr>
          <w:rFonts w:ascii="Times New Roman" w:eastAsia="Times New Roman" w:hAnsi="Times New Roman" w:cs="Times New Roman"/>
        </w:rPr>
        <w:t>,</w:t>
      </w:r>
      <w:r w:rsidR="0D9B4E48" w:rsidRPr="008C17AC">
        <w:rPr>
          <w:rFonts w:ascii="Times New Roman" w:eastAsia="Times New Roman" w:hAnsi="Times New Roman" w:cs="Times New Roman"/>
        </w:rPr>
        <w:t xml:space="preserve"> institutions</w:t>
      </w:r>
      <w:r w:rsidR="29143344" w:rsidRPr="008C17AC">
        <w:rPr>
          <w:rFonts w:ascii="Times New Roman" w:eastAsia="Times New Roman" w:hAnsi="Times New Roman" w:cs="Times New Roman"/>
        </w:rPr>
        <w:t xml:space="preserve"> and individual researchers.</w:t>
      </w:r>
    </w:p>
    <w:p w14:paraId="529A0602" w14:textId="6268FEBD" w:rsidR="1A6C9FDE" w:rsidRPr="008C17AC" w:rsidRDefault="1A6C9FDE" w:rsidP="1A6C9FDE">
      <w:pPr>
        <w:spacing w:after="120" w:line="360" w:lineRule="auto"/>
        <w:ind w:left="-20" w:right="-20"/>
        <w:rPr>
          <w:rFonts w:ascii="Times New Roman" w:eastAsia="Times New Roman" w:hAnsi="Times New Roman" w:cs="Times New Roman"/>
        </w:rPr>
      </w:pPr>
    </w:p>
    <w:p w14:paraId="2E454374" w14:textId="6D21C150" w:rsidR="1A6C9FDE" w:rsidRPr="008C17AC" w:rsidRDefault="1A6C9FDE" w:rsidP="1A6C9FDE">
      <w:pPr>
        <w:spacing w:after="120" w:line="360" w:lineRule="auto"/>
        <w:ind w:left="-20" w:right="-20"/>
        <w:rPr>
          <w:rFonts w:ascii="Times New Roman" w:eastAsia="Times New Roman" w:hAnsi="Times New Roman" w:cs="Times New Roman"/>
        </w:rPr>
      </w:pPr>
    </w:p>
    <w:p w14:paraId="1FFECE5F" w14:textId="4E4BB0B2" w:rsidR="17F0BC6B" w:rsidRPr="008C17AC" w:rsidRDefault="17F0BC6B">
      <w:pPr>
        <w:rPr>
          <w:rFonts w:ascii="Times New Roman" w:hAnsi="Times New Roman" w:cs="Times New Roman"/>
        </w:rPr>
      </w:pPr>
    </w:p>
    <w:p w14:paraId="06EEB37A" w14:textId="74A24C0F" w:rsidR="7BDB0FFF" w:rsidRPr="008C17AC" w:rsidRDefault="608E7187" w:rsidP="3268D03A">
      <w:pPr>
        <w:spacing w:after="120" w:line="360" w:lineRule="auto"/>
        <w:ind w:left="-20" w:right="-20"/>
        <w:rPr>
          <w:rFonts w:ascii="Times New Roman" w:eastAsia="Times New Roman" w:hAnsi="Times New Roman" w:cs="Times New Roman"/>
          <w:b/>
          <w:bCs/>
          <w:sz w:val="24"/>
          <w:szCs w:val="24"/>
        </w:rPr>
      </w:pPr>
      <w:r w:rsidRPr="008C17AC">
        <w:rPr>
          <w:rFonts w:ascii="Times New Roman" w:eastAsia="Times New Roman" w:hAnsi="Times New Roman" w:cs="Times New Roman"/>
          <w:b/>
          <w:bCs/>
          <w:sz w:val="24"/>
          <w:szCs w:val="24"/>
        </w:rPr>
        <w:t>Table 1</w:t>
      </w:r>
      <w:r w:rsidR="5E4381B9" w:rsidRPr="008C17AC">
        <w:rPr>
          <w:rFonts w:ascii="Times New Roman" w:eastAsia="Times New Roman" w:hAnsi="Times New Roman" w:cs="Times New Roman"/>
          <w:b/>
          <w:bCs/>
          <w:sz w:val="24"/>
          <w:szCs w:val="24"/>
        </w:rPr>
        <w:t>.</w:t>
      </w:r>
      <w:r w:rsidRPr="008C17AC">
        <w:rPr>
          <w:rFonts w:ascii="Times New Roman" w:eastAsia="Times New Roman" w:hAnsi="Times New Roman" w:cs="Times New Roman"/>
          <w:b/>
          <w:bCs/>
          <w:sz w:val="24"/>
          <w:szCs w:val="24"/>
        </w:rPr>
        <w:t xml:space="preserve"> </w:t>
      </w:r>
      <w:r w:rsidR="5C259072" w:rsidRPr="008C17AC">
        <w:rPr>
          <w:rFonts w:ascii="Times New Roman" w:eastAsia="Times New Roman" w:hAnsi="Times New Roman" w:cs="Times New Roman"/>
          <w:b/>
          <w:bCs/>
          <w:sz w:val="24"/>
          <w:szCs w:val="24"/>
        </w:rPr>
        <w:t>C</w:t>
      </w:r>
      <w:r w:rsidRPr="008C17AC">
        <w:rPr>
          <w:rFonts w:ascii="Times New Roman" w:eastAsia="Times New Roman" w:hAnsi="Times New Roman" w:cs="Times New Roman"/>
          <w:b/>
          <w:bCs/>
          <w:sz w:val="24"/>
          <w:szCs w:val="24"/>
        </w:rPr>
        <w:t>haracteristics</w:t>
      </w:r>
      <w:r w:rsidR="638A724D" w:rsidRPr="008C17AC">
        <w:rPr>
          <w:rFonts w:ascii="Times New Roman" w:eastAsia="Times New Roman" w:hAnsi="Times New Roman" w:cs="Times New Roman"/>
          <w:b/>
          <w:bCs/>
          <w:sz w:val="24"/>
          <w:szCs w:val="24"/>
        </w:rPr>
        <w:t xml:space="preserve"> of included studies</w:t>
      </w:r>
      <w:r w:rsidR="71F8BDD6" w:rsidRPr="008C17AC">
        <w:rPr>
          <w:rFonts w:ascii="Times New Roman" w:eastAsia="Times New Roman" w:hAnsi="Times New Roman" w:cs="Times New Roman"/>
          <w:b/>
          <w:bCs/>
          <w:sz w:val="24"/>
          <w:szCs w:val="24"/>
        </w:rPr>
        <w:t xml:space="preserve"> (n=104)</w:t>
      </w:r>
      <w:r w:rsidR="638A724D" w:rsidRPr="008C17AC">
        <w:rPr>
          <w:rFonts w:ascii="Times New Roman" w:eastAsia="Times New Roman" w:hAnsi="Times New Roman" w:cs="Times New Roman"/>
          <w:b/>
          <w:bCs/>
          <w:sz w:val="24"/>
          <w:szCs w:val="24"/>
        </w:rPr>
        <w:t>.</w:t>
      </w:r>
    </w:p>
    <w:tbl>
      <w:tblPr>
        <w:tblStyle w:val="Tabelrasterlicht"/>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492"/>
        <w:gridCol w:w="5103"/>
        <w:gridCol w:w="709"/>
        <w:gridCol w:w="825"/>
      </w:tblGrid>
      <w:tr w:rsidR="00691CA7" w:rsidRPr="008C17AC" w14:paraId="50670216" w14:textId="77777777" w:rsidTr="1A6C9FDE">
        <w:trPr>
          <w:trHeight w:val="227"/>
        </w:trPr>
        <w:tc>
          <w:tcPr>
            <w:tcW w:w="2492" w:type="dxa"/>
          </w:tcPr>
          <w:p w14:paraId="4944CD24" w14:textId="2988E3A1" w:rsidR="72A8385B" w:rsidRPr="008C17AC" w:rsidRDefault="00892B09" w:rsidP="3268D03A">
            <w:pPr>
              <w:spacing w:line="216" w:lineRule="auto"/>
              <w:rPr>
                <w:rFonts w:ascii="Times New Roman" w:eastAsia="Times New Roman" w:hAnsi="Times New Roman" w:cs="Times New Roman"/>
                <w:b/>
                <w:bCs/>
                <w:lang w:eastAsia="nl-NL"/>
              </w:rPr>
            </w:pPr>
            <w:r w:rsidRPr="008C17AC">
              <w:rPr>
                <w:rFonts w:ascii="Times New Roman" w:eastAsia="Times New Roman" w:hAnsi="Times New Roman" w:cs="Times New Roman"/>
                <w:b/>
                <w:bCs/>
                <w:lang w:eastAsia="nl-NL"/>
              </w:rPr>
              <w:t>Characteristic</w:t>
            </w:r>
          </w:p>
        </w:tc>
        <w:tc>
          <w:tcPr>
            <w:tcW w:w="5103" w:type="dxa"/>
            <w:noWrap/>
            <w:hideMark/>
          </w:tcPr>
          <w:p w14:paraId="3DEFE92A" w14:textId="03915FE0" w:rsidR="00784461" w:rsidRPr="008C17AC" w:rsidRDefault="00892B09" w:rsidP="3268D03A">
            <w:pPr>
              <w:spacing w:line="216" w:lineRule="auto"/>
              <w:rPr>
                <w:rFonts w:ascii="Times New Roman" w:eastAsia="Times New Roman" w:hAnsi="Times New Roman" w:cs="Times New Roman"/>
                <w:b/>
                <w:bCs/>
                <w:lang w:eastAsia="nl-NL"/>
              </w:rPr>
            </w:pPr>
            <w:r w:rsidRPr="008C17AC">
              <w:rPr>
                <w:rFonts w:ascii="Times New Roman" w:eastAsia="Times New Roman" w:hAnsi="Times New Roman" w:cs="Times New Roman"/>
                <w:b/>
                <w:bCs/>
                <w:lang w:eastAsia="nl-NL"/>
              </w:rPr>
              <w:t>Category</w:t>
            </w:r>
          </w:p>
        </w:tc>
        <w:tc>
          <w:tcPr>
            <w:tcW w:w="709" w:type="dxa"/>
            <w:noWrap/>
            <w:hideMark/>
          </w:tcPr>
          <w:p w14:paraId="37D0D4AA" w14:textId="35240581" w:rsidR="00784461" w:rsidRPr="008C17AC" w:rsidRDefault="004E7BBA" w:rsidP="3268D03A">
            <w:pPr>
              <w:spacing w:line="216" w:lineRule="auto"/>
              <w:jc w:val="center"/>
              <w:rPr>
                <w:rFonts w:ascii="Times New Roman" w:eastAsia="Times New Roman" w:hAnsi="Times New Roman" w:cs="Times New Roman"/>
                <w:b/>
                <w:bCs/>
                <w:lang w:eastAsia="nl-NL"/>
              </w:rPr>
            </w:pPr>
            <w:r w:rsidRPr="008C17AC">
              <w:rPr>
                <w:rFonts w:ascii="Times New Roman" w:eastAsia="Times New Roman" w:hAnsi="Times New Roman" w:cs="Times New Roman"/>
                <w:b/>
                <w:bCs/>
                <w:lang w:eastAsia="nl-NL"/>
              </w:rPr>
              <w:t>n</w:t>
            </w:r>
          </w:p>
        </w:tc>
        <w:tc>
          <w:tcPr>
            <w:tcW w:w="825" w:type="dxa"/>
            <w:noWrap/>
            <w:hideMark/>
          </w:tcPr>
          <w:p w14:paraId="617B4084" w14:textId="2D2A4346" w:rsidR="00784461" w:rsidRPr="008C17AC" w:rsidRDefault="31EBE7CD" w:rsidP="3268D03A">
            <w:pPr>
              <w:spacing w:line="216" w:lineRule="auto"/>
              <w:jc w:val="center"/>
              <w:rPr>
                <w:rFonts w:ascii="Times New Roman" w:eastAsia="Times New Roman" w:hAnsi="Times New Roman" w:cs="Times New Roman"/>
                <w:b/>
                <w:bCs/>
                <w:lang w:eastAsia="nl-NL"/>
              </w:rPr>
            </w:pPr>
            <w:r w:rsidRPr="008C17AC">
              <w:rPr>
                <w:rFonts w:ascii="Times New Roman" w:eastAsia="Times New Roman" w:hAnsi="Times New Roman" w:cs="Times New Roman"/>
                <w:b/>
                <w:bCs/>
                <w:lang w:eastAsia="nl-NL"/>
              </w:rPr>
              <w:t>%</w:t>
            </w:r>
          </w:p>
        </w:tc>
      </w:tr>
      <w:tr w:rsidR="00691CA7" w:rsidRPr="008C17AC" w14:paraId="78D5EA77" w14:textId="77777777" w:rsidTr="1A6C9FDE">
        <w:trPr>
          <w:trHeight w:val="227"/>
        </w:trPr>
        <w:tc>
          <w:tcPr>
            <w:tcW w:w="2492" w:type="dxa"/>
            <w:vMerge w:val="restart"/>
          </w:tcPr>
          <w:p w14:paraId="78479EB4" w14:textId="00579D4D" w:rsidR="0714E011" w:rsidRPr="008C17AC" w:rsidRDefault="0714E011" w:rsidP="3268D03A">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 xml:space="preserve">Publication </w:t>
            </w:r>
            <w:r w:rsidR="2DA9A46F" w:rsidRPr="008C17AC">
              <w:rPr>
                <w:rFonts w:ascii="Times New Roman" w:eastAsia="Times New Roman" w:hAnsi="Times New Roman" w:cs="Times New Roman"/>
                <w:lang w:eastAsia="nl-NL"/>
              </w:rPr>
              <w:t>type</w:t>
            </w:r>
          </w:p>
        </w:tc>
        <w:tc>
          <w:tcPr>
            <w:tcW w:w="5103" w:type="dxa"/>
            <w:noWrap/>
            <w:hideMark/>
          </w:tcPr>
          <w:p w14:paraId="1AC7E2AE" w14:textId="77777777" w:rsidR="00784461" w:rsidRPr="008C17AC" w:rsidRDefault="790AD4C4" w:rsidP="3268D03A">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Peer-reviewed</w:t>
            </w:r>
          </w:p>
        </w:tc>
        <w:tc>
          <w:tcPr>
            <w:tcW w:w="709" w:type="dxa"/>
            <w:noWrap/>
            <w:hideMark/>
          </w:tcPr>
          <w:p w14:paraId="014FFB24" w14:textId="273A3DF0" w:rsidR="00784461" w:rsidRPr="008C17AC" w:rsidRDefault="790AD4C4" w:rsidP="3268D03A">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10</w:t>
            </w:r>
            <w:r w:rsidR="0E61C400" w:rsidRPr="008C17AC">
              <w:rPr>
                <w:rFonts w:ascii="Times New Roman" w:eastAsia="Times New Roman" w:hAnsi="Times New Roman" w:cs="Times New Roman"/>
                <w:lang w:eastAsia="nl-NL"/>
              </w:rPr>
              <w:t>2</w:t>
            </w:r>
          </w:p>
        </w:tc>
        <w:tc>
          <w:tcPr>
            <w:tcW w:w="825" w:type="dxa"/>
            <w:noWrap/>
            <w:hideMark/>
          </w:tcPr>
          <w:p w14:paraId="746243F4" w14:textId="4D980CDC" w:rsidR="00784461" w:rsidRPr="008C17AC" w:rsidRDefault="31EBE7CD" w:rsidP="3268D03A">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9</w:t>
            </w:r>
            <w:r w:rsidR="00605BC5" w:rsidRPr="008C17AC">
              <w:rPr>
                <w:rFonts w:ascii="Times New Roman" w:eastAsia="Times New Roman" w:hAnsi="Times New Roman" w:cs="Times New Roman"/>
                <w:lang w:eastAsia="nl-NL"/>
              </w:rPr>
              <w:t>8</w:t>
            </w:r>
            <w:r w:rsidR="005865A9" w:rsidRPr="008C17AC">
              <w:rPr>
                <w:rFonts w:ascii="Times New Roman" w:eastAsia="Times New Roman" w:hAnsi="Times New Roman" w:cs="Times New Roman"/>
                <w:lang w:eastAsia="nl-NL"/>
              </w:rPr>
              <w:t>.07</w:t>
            </w:r>
          </w:p>
        </w:tc>
      </w:tr>
      <w:tr w:rsidR="00691CA7" w:rsidRPr="008C17AC" w14:paraId="506A9913" w14:textId="77777777" w:rsidTr="1A6C9FDE">
        <w:trPr>
          <w:trHeight w:val="227"/>
        </w:trPr>
        <w:tc>
          <w:tcPr>
            <w:tcW w:w="2492" w:type="dxa"/>
            <w:vMerge/>
          </w:tcPr>
          <w:p w14:paraId="0BE550D6" w14:textId="77777777" w:rsidR="003B333A" w:rsidRPr="008C17AC" w:rsidRDefault="003B333A">
            <w:pPr>
              <w:rPr>
                <w:rFonts w:ascii="Times New Roman" w:hAnsi="Times New Roman" w:cs="Times New Roman"/>
              </w:rPr>
            </w:pPr>
          </w:p>
        </w:tc>
        <w:tc>
          <w:tcPr>
            <w:tcW w:w="5103" w:type="dxa"/>
            <w:noWrap/>
            <w:hideMark/>
          </w:tcPr>
          <w:p w14:paraId="4190C227" w14:textId="77777777" w:rsidR="00784461" w:rsidRPr="008C17AC" w:rsidRDefault="790AD4C4" w:rsidP="3268D03A">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Grey literature</w:t>
            </w:r>
          </w:p>
        </w:tc>
        <w:tc>
          <w:tcPr>
            <w:tcW w:w="709" w:type="dxa"/>
            <w:noWrap/>
            <w:hideMark/>
          </w:tcPr>
          <w:p w14:paraId="697533CC" w14:textId="77777777" w:rsidR="00784461" w:rsidRPr="008C17AC" w:rsidRDefault="790AD4C4" w:rsidP="3268D03A">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w:t>
            </w:r>
          </w:p>
        </w:tc>
        <w:tc>
          <w:tcPr>
            <w:tcW w:w="825" w:type="dxa"/>
            <w:noWrap/>
            <w:hideMark/>
          </w:tcPr>
          <w:p w14:paraId="50510CF3" w14:textId="108EEFF9" w:rsidR="00784461" w:rsidRPr="008C17AC" w:rsidRDefault="007C2FF1" w:rsidP="3268D03A">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0.96</w:t>
            </w:r>
          </w:p>
        </w:tc>
      </w:tr>
      <w:tr w:rsidR="008C17AC" w:rsidRPr="008C17AC" w14:paraId="217E0482" w14:textId="77777777" w:rsidTr="1A6C9FDE">
        <w:trPr>
          <w:trHeight w:val="227"/>
        </w:trPr>
        <w:tc>
          <w:tcPr>
            <w:tcW w:w="2492" w:type="dxa"/>
            <w:vMerge/>
          </w:tcPr>
          <w:p w14:paraId="198450AD" w14:textId="77777777" w:rsidR="003B333A" w:rsidRPr="008C17AC" w:rsidRDefault="003B333A">
            <w:pPr>
              <w:rPr>
                <w:rFonts w:ascii="Times New Roman" w:hAnsi="Times New Roman" w:cs="Times New Roman"/>
              </w:rPr>
            </w:pPr>
          </w:p>
        </w:tc>
        <w:tc>
          <w:tcPr>
            <w:tcW w:w="5103" w:type="dxa"/>
            <w:noWrap/>
            <w:hideMark/>
          </w:tcPr>
          <w:p w14:paraId="247F3CBB" w14:textId="77777777" w:rsidR="00784461" w:rsidRPr="008C17AC" w:rsidRDefault="790AD4C4" w:rsidP="3268D03A">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Preprint</w:t>
            </w:r>
          </w:p>
        </w:tc>
        <w:tc>
          <w:tcPr>
            <w:tcW w:w="709" w:type="dxa"/>
            <w:noWrap/>
            <w:hideMark/>
          </w:tcPr>
          <w:p w14:paraId="404988B5" w14:textId="77777777" w:rsidR="00784461" w:rsidRPr="008C17AC" w:rsidRDefault="790AD4C4" w:rsidP="3268D03A">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w:t>
            </w:r>
          </w:p>
        </w:tc>
        <w:tc>
          <w:tcPr>
            <w:tcW w:w="825" w:type="dxa"/>
            <w:noWrap/>
            <w:hideMark/>
          </w:tcPr>
          <w:p w14:paraId="600E5920" w14:textId="608252D6" w:rsidR="00784461" w:rsidRPr="008C17AC" w:rsidRDefault="0FD1BFF3" w:rsidP="3268D03A">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0.96</w:t>
            </w:r>
          </w:p>
        </w:tc>
      </w:tr>
      <w:tr w:rsidR="008C17AC" w:rsidRPr="008C17AC" w14:paraId="4EFF3D14" w14:textId="77777777" w:rsidTr="1A6C9FDE">
        <w:trPr>
          <w:trHeight w:val="227"/>
        </w:trPr>
        <w:tc>
          <w:tcPr>
            <w:tcW w:w="2492" w:type="dxa"/>
            <w:vMerge w:val="restart"/>
          </w:tcPr>
          <w:p w14:paraId="145CC8C3" w14:textId="7C5D235F" w:rsidR="629953DF" w:rsidRPr="008C17AC" w:rsidRDefault="629953DF" w:rsidP="3268D03A">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Study design</w:t>
            </w:r>
          </w:p>
        </w:tc>
        <w:tc>
          <w:tcPr>
            <w:tcW w:w="5103" w:type="dxa"/>
            <w:noWrap/>
            <w:hideMark/>
          </w:tcPr>
          <w:p w14:paraId="2A9BA887" w14:textId="62D1096D" w:rsidR="00784461" w:rsidRPr="008C17AC" w:rsidRDefault="290A61A8" w:rsidP="3268D03A">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Randomized experiment</w:t>
            </w:r>
          </w:p>
        </w:tc>
        <w:tc>
          <w:tcPr>
            <w:tcW w:w="709" w:type="dxa"/>
            <w:noWrap/>
            <w:hideMark/>
          </w:tcPr>
          <w:p w14:paraId="309D12C5" w14:textId="549B2A87" w:rsidR="00784461" w:rsidRPr="008C17AC" w:rsidRDefault="290A61A8" w:rsidP="3268D03A">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5</w:t>
            </w:r>
          </w:p>
        </w:tc>
        <w:tc>
          <w:tcPr>
            <w:tcW w:w="825" w:type="dxa"/>
            <w:noWrap/>
            <w:hideMark/>
          </w:tcPr>
          <w:p w14:paraId="14E5CD3C" w14:textId="2B328735" w:rsidR="00A31CB0" w:rsidRPr="008C17AC" w:rsidRDefault="290A61A8" w:rsidP="00A31CB0">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4.81</w:t>
            </w:r>
          </w:p>
        </w:tc>
      </w:tr>
      <w:tr w:rsidR="008C17AC" w:rsidRPr="008C17AC" w14:paraId="0D5C7D7B" w14:textId="77777777" w:rsidTr="1A6C9FDE">
        <w:trPr>
          <w:trHeight w:val="227"/>
        </w:trPr>
        <w:tc>
          <w:tcPr>
            <w:tcW w:w="2492" w:type="dxa"/>
            <w:vMerge/>
          </w:tcPr>
          <w:p w14:paraId="0EABAF1D" w14:textId="77777777" w:rsidR="00F86093" w:rsidRPr="008C17AC" w:rsidRDefault="00F86093" w:rsidP="00F86093">
            <w:pPr>
              <w:spacing w:line="216" w:lineRule="auto"/>
              <w:rPr>
                <w:rFonts w:ascii="Times New Roman" w:eastAsia="Times New Roman" w:hAnsi="Times New Roman" w:cs="Times New Roman"/>
                <w:lang w:eastAsia="nl-NL"/>
              </w:rPr>
            </w:pPr>
          </w:p>
        </w:tc>
        <w:tc>
          <w:tcPr>
            <w:tcW w:w="5103" w:type="dxa"/>
            <w:noWrap/>
          </w:tcPr>
          <w:p w14:paraId="2A86D64B" w14:textId="3EE6FB00" w:rsidR="1A6C9FDE" w:rsidRPr="008C17AC" w:rsidRDefault="1A6C9FDE" w:rsidP="1A6C9FDE">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Comparative (between-subject, non-randomized)</w:t>
            </w:r>
          </w:p>
        </w:tc>
        <w:tc>
          <w:tcPr>
            <w:tcW w:w="709" w:type="dxa"/>
            <w:noWrap/>
          </w:tcPr>
          <w:p w14:paraId="0DA42494" w14:textId="31AC9090" w:rsidR="1A6C9FDE" w:rsidRPr="008C17AC" w:rsidRDefault="1A6C9FDE" w:rsidP="1A6C9FDE">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61</w:t>
            </w:r>
          </w:p>
        </w:tc>
        <w:tc>
          <w:tcPr>
            <w:tcW w:w="825" w:type="dxa"/>
            <w:noWrap/>
          </w:tcPr>
          <w:p w14:paraId="0A47E684" w14:textId="0F212296" w:rsidR="1A6C9FDE" w:rsidRPr="008C17AC" w:rsidRDefault="1A6C9FDE" w:rsidP="1A6C9FDE">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58.65</w:t>
            </w:r>
          </w:p>
        </w:tc>
      </w:tr>
      <w:tr w:rsidR="008C17AC" w:rsidRPr="008C17AC" w14:paraId="2A10558E" w14:textId="77777777" w:rsidTr="1A6C9FDE">
        <w:trPr>
          <w:trHeight w:val="227"/>
        </w:trPr>
        <w:tc>
          <w:tcPr>
            <w:tcW w:w="2492" w:type="dxa"/>
            <w:vMerge/>
          </w:tcPr>
          <w:p w14:paraId="3F827710" w14:textId="77777777" w:rsidR="00F86093" w:rsidRPr="008C17AC" w:rsidRDefault="00F86093" w:rsidP="00F86093">
            <w:pPr>
              <w:rPr>
                <w:rFonts w:ascii="Times New Roman" w:hAnsi="Times New Roman" w:cs="Times New Roman"/>
              </w:rPr>
            </w:pPr>
          </w:p>
        </w:tc>
        <w:tc>
          <w:tcPr>
            <w:tcW w:w="5103" w:type="dxa"/>
            <w:noWrap/>
            <w:hideMark/>
          </w:tcPr>
          <w:p w14:paraId="5D54BCC3" w14:textId="0691C57D" w:rsidR="1A6C9FDE" w:rsidRPr="008C17AC" w:rsidRDefault="1A6C9FDE" w:rsidP="1A6C9FDE">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Comparative (within-subject)</w:t>
            </w:r>
          </w:p>
        </w:tc>
        <w:tc>
          <w:tcPr>
            <w:tcW w:w="709" w:type="dxa"/>
            <w:noWrap/>
            <w:hideMark/>
          </w:tcPr>
          <w:p w14:paraId="0D574E3F" w14:textId="2151F77F" w:rsidR="1A6C9FDE" w:rsidRPr="008C17AC" w:rsidRDefault="1A6C9FDE" w:rsidP="1A6C9FDE">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7</w:t>
            </w:r>
          </w:p>
        </w:tc>
        <w:tc>
          <w:tcPr>
            <w:tcW w:w="825" w:type="dxa"/>
            <w:noWrap/>
            <w:hideMark/>
          </w:tcPr>
          <w:p w14:paraId="488656F1" w14:textId="6090879F" w:rsidR="1A6C9FDE" w:rsidRPr="008C17AC" w:rsidRDefault="1A6C9FDE" w:rsidP="1A6C9FDE">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6.73</w:t>
            </w:r>
          </w:p>
        </w:tc>
      </w:tr>
      <w:tr w:rsidR="00F86093" w:rsidRPr="008C17AC" w14:paraId="12657C10" w14:textId="77777777" w:rsidTr="1A6C9FDE">
        <w:trPr>
          <w:trHeight w:val="227"/>
        </w:trPr>
        <w:tc>
          <w:tcPr>
            <w:tcW w:w="2492" w:type="dxa"/>
            <w:vMerge/>
          </w:tcPr>
          <w:p w14:paraId="46867B3F" w14:textId="77777777" w:rsidR="00F86093" w:rsidRPr="008C17AC" w:rsidRDefault="00F86093" w:rsidP="00F86093">
            <w:pPr>
              <w:rPr>
                <w:rFonts w:ascii="Times New Roman" w:hAnsi="Times New Roman" w:cs="Times New Roman"/>
              </w:rPr>
            </w:pPr>
          </w:p>
        </w:tc>
        <w:tc>
          <w:tcPr>
            <w:tcW w:w="5103" w:type="dxa"/>
            <w:noWrap/>
            <w:hideMark/>
          </w:tcPr>
          <w:p w14:paraId="256E0CBE" w14:textId="2F3A8CA5" w:rsidR="1A6C9FDE" w:rsidRPr="008C17AC" w:rsidRDefault="1A6C9FDE" w:rsidP="1A6C9FDE">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Post-intervention only</w:t>
            </w:r>
          </w:p>
        </w:tc>
        <w:tc>
          <w:tcPr>
            <w:tcW w:w="709" w:type="dxa"/>
            <w:noWrap/>
            <w:hideMark/>
          </w:tcPr>
          <w:p w14:paraId="75DC7C10" w14:textId="67C4CDF7" w:rsidR="1A6C9FDE" w:rsidRPr="008C17AC" w:rsidRDefault="1A6C9FDE" w:rsidP="1A6C9FDE">
            <w:pPr>
              <w:spacing w:line="216" w:lineRule="auto"/>
              <w:jc w:val="center"/>
              <w:rPr>
                <w:rFonts w:ascii="Times New Roman" w:eastAsia="Times New Roman" w:hAnsi="Times New Roman" w:cs="Times New Roman"/>
              </w:rPr>
            </w:pPr>
            <w:r w:rsidRPr="008C17AC">
              <w:rPr>
                <w:rFonts w:ascii="Times New Roman" w:eastAsia="Times New Roman" w:hAnsi="Times New Roman" w:cs="Times New Roman"/>
                <w:lang w:eastAsia="nl-NL"/>
              </w:rPr>
              <w:t>25</w:t>
            </w:r>
          </w:p>
        </w:tc>
        <w:tc>
          <w:tcPr>
            <w:tcW w:w="825" w:type="dxa"/>
            <w:noWrap/>
            <w:hideMark/>
          </w:tcPr>
          <w:p w14:paraId="76D0E956" w14:textId="5756DAB0" w:rsidR="1A6C9FDE" w:rsidRPr="008C17AC" w:rsidRDefault="1A6C9FDE" w:rsidP="1A6C9FDE">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24.04</w:t>
            </w:r>
          </w:p>
        </w:tc>
      </w:tr>
      <w:tr w:rsidR="00F86093" w:rsidRPr="008C17AC" w14:paraId="5F96BFB8" w14:textId="77777777" w:rsidTr="1A6C9FDE">
        <w:trPr>
          <w:trHeight w:val="227"/>
        </w:trPr>
        <w:tc>
          <w:tcPr>
            <w:tcW w:w="2492" w:type="dxa"/>
            <w:vMerge/>
          </w:tcPr>
          <w:p w14:paraId="779CFC2A" w14:textId="77777777" w:rsidR="00F86093" w:rsidRPr="008C17AC" w:rsidRDefault="00F86093" w:rsidP="00F86093">
            <w:pPr>
              <w:rPr>
                <w:rFonts w:ascii="Times New Roman" w:hAnsi="Times New Roman" w:cs="Times New Roman"/>
              </w:rPr>
            </w:pPr>
          </w:p>
        </w:tc>
        <w:tc>
          <w:tcPr>
            <w:tcW w:w="5103" w:type="dxa"/>
            <w:noWrap/>
            <w:hideMark/>
          </w:tcPr>
          <w:p w14:paraId="651DA3EE" w14:textId="68C9F9DF" w:rsidR="00F86093" w:rsidRPr="008C17AC" w:rsidRDefault="676EAABD" w:rsidP="00F86093">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Demonstration o</w:t>
            </w:r>
            <w:r w:rsidR="14140DA0" w:rsidRPr="008C17AC">
              <w:rPr>
                <w:rFonts w:ascii="Times New Roman" w:eastAsia="Times New Roman" w:hAnsi="Times New Roman" w:cs="Times New Roman"/>
                <w:lang w:eastAsia="nl-NL"/>
              </w:rPr>
              <w:t>f a tool</w:t>
            </w:r>
          </w:p>
        </w:tc>
        <w:tc>
          <w:tcPr>
            <w:tcW w:w="709" w:type="dxa"/>
            <w:noWrap/>
            <w:hideMark/>
          </w:tcPr>
          <w:p w14:paraId="3D26D513" w14:textId="77777777" w:rsidR="00F86093" w:rsidRPr="008C17AC" w:rsidRDefault="00F86093" w:rsidP="00F86093">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6</w:t>
            </w:r>
          </w:p>
        </w:tc>
        <w:tc>
          <w:tcPr>
            <w:tcW w:w="825" w:type="dxa"/>
            <w:noWrap/>
            <w:hideMark/>
          </w:tcPr>
          <w:p w14:paraId="15C91E29" w14:textId="57BADA25" w:rsidR="00F86093" w:rsidRPr="008C17AC" w:rsidRDefault="00F86093" w:rsidP="00F86093">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5.77</w:t>
            </w:r>
          </w:p>
        </w:tc>
      </w:tr>
      <w:tr w:rsidR="008C17AC" w:rsidRPr="008C17AC" w14:paraId="0AA236B6" w14:textId="77777777" w:rsidTr="1A6C9FDE">
        <w:trPr>
          <w:trHeight w:val="227"/>
        </w:trPr>
        <w:tc>
          <w:tcPr>
            <w:tcW w:w="2492" w:type="dxa"/>
            <w:vMerge/>
          </w:tcPr>
          <w:p w14:paraId="33F2B53C" w14:textId="77777777" w:rsidR="00F86093" w:rsidRPr="008C17AC" w:rsidRDefault="00F86093" w:rsidP="00F86093">
            <w:pPr>
              <w:rPr>
                <w:rFonts w:ascii="Times New Roman" w:hAnsi="Times New Roman" w:cs="Times New Roman"/>
              </w:rPr>
            </w:pPr>
          </w:p>
        </w:tc>
        <w:tc>
          <w:tcPr>
            <w:tcW w:w="5103" w:type="dxa"/>
            <w:noWrap/>
          </w:tcPr>
          <w:p w14:paraId="3D0AFF65" w14:textId="02B0BB0E" w:rsidR="00F86093" w:rsidRPr="008C17AC" w:rsidRDefault="00F86093" w:rsidP="00F86093">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Other – individual patient meta-analysis</w:t>
            </w:r>
          </w:p>
        </w:tc>
        <w:tc>
          <w:tcPr>
            <w:tcW w:w="709" w:type="dxa"/>
            <w:noWrap/>
          </w:tcPr>
          <w:p w14:paraId="69F48F0B" w14:textId="763AEBAC" w:rsidR="00F86093" w:rsidRPr="008C17AC" w:rsidRDefault="00F86093" w:rsidP="00F86093">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w:t>
            </w:r>
          </w:p>
        </w:tc>
        <w:tc>
          <w:tcPr>
            <w:tcW w:w="825" w:type="dxa"/>
            <w:noWrap/>
          </w:tcPr>
          <w:p w14:paraId="66209287" w14:textId="10FE2EF7" w:rsidR="00F86093" w:rsidRPr="008C17AC" w:rsidRDefault="00F86093" w:rsidP="00F86093">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0.96</w:t>
            </w:r>
          </w:p>
        </w:tc>
      </w:tr>
      <w:tr w:rsidR="008C17AC" w:rsidRPr="008C17AC" w14:paraId="2307CE89" w14:textId="77777777" w:rsidTr="1A6C9FDE">
        <w:trPr>
          <w:trHeight w:val="227"/>
        </w:trPr>
        <w:tc>
          <w:tcPr>
            <w:tcW w:w="2492" w:type="dxa"/>
            <w:vMerge w:val="restart"/>
          </w:tcPr>
          <w:p w14:paraId="6CE2D355" w14:textId="5FFC81B7" w:rsidR="00F86093" w:rsidRPr="008C17AC" w:rsidRDefault="00F86093" w:rsidP="00F86093">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Academic discipline</w:t>
            </w:r>
          </w:p>
        </w:tc>
        <w:tc>
          <w:tcPr>
            <w:tcW w:w="5103" w:type="dxa"/>
            <w:noWrap/>
            <w:hideMark/>
          </w:tcPr>
          <w:p w14:paraId="2A7AAB45" w14:textId="0B780260" w:rsidR="00F86093" w:rsidRPr="008C17AC" w:rsidRDefault="00F86093" w:rsidP="00F86093">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Medical and health sciences</w:t>
            </w:r>
          </w:p>
        </w:tc>
        <w:tc>
          <w:tcPr>
            <w:tcW w:w="709" w:type="dxa"/>
            <w:noWrap/>
            <w:hideMark/>
          </w:tcPr>
          <w:p w14:paraId="3F09524E" w14:textId="77777777" w:rsidR="00F86093" w:rsidRPr="008C17AC" w:rsidRDefault="00F86093" w:rsidP="00F86093">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57</w:t>
            </w:r>
          </w:p>
        </w:tc>
        <w:tc>
          <w:tcPr>
            <w:tcW w:w="825" w:type="dxa"/>
            <w:noWrap/>
            <w:hideMark/>
          </w:tcPr>
          <w:p w14:paraId="63A744D0" w14:textId="027DA004" w:rsidR="00F86093" w:rsidRPr="008C17AC" w:rsidRDefault="00F86093" w:rsidP="00F86093">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54.81</w:t>
            </w:r>
          </w:p>
        </w:tc>
      </w:tr>
      <w:tr w:rsidR="008C17AC" w:rsidRPr="008C17AC" w14:paraId="2ACB3AB7" w14:textId="77777777" w:rsidTr="1A6C9FDE">
        <w:trPr>
          <w:trHeight w:val="227"/>
        </w:trPr>
        <w:tc>
          <w:tcPr>
            <w:tcW w:w="2492" w:type="dxa"/>
            <w:vMerge/>
          </w:tcPr>
          <w:p w14:paraId="717F9119" w14:textId="77777777" w:rsidR="00F86093" w:rsidRPr="008C17AC" w:rsidRDefault="00F86093" w:rsidP="00F86093">
            <w:pPr>
              <w:rPr>
                <w:rFonts w:ascii="Times New Roman" w:hAnsi="Times New Roman" w:cs="Times New Roman"/>
              </w:rPr>
            </w:pPr>
          </w:p>
        </w:tc>
        <w:tc>
          <w:tcPr>
            <w:tcW w:w="5103" w:type="dxa"/>
            <w:noWrap/>
            <w:hideMark/>
          </w:tcPr>
          <w:p w14:paraId="7D8B119E" w14:textId="77777777" w:rsidR="00F86093" w:rsidRPr="008C17AC" w:rsidRDefault="00F86093" w:rsidP="00F86093">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Social sciences</w:t>
            </w:r>
          </w:p>
        </w:tc>
        <w:tc>
          <w:tcPr>
            <w:tcW w:w="709" w:type="dxa"/>
            <w:noWrap/>
            <w:hideMark/>
          </w:tcPr>
          <w:p w14:paraId="5B2FCEE9" w14:textId="35FD2139" w:rsidR="00F86093" w:rsidRPr="008C17AC" w:rsidRDefault="00F86093" w:rsidP="00F86093">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22</w:t>
            </w:r>
          </w:p>
        </w:tc>
        <w:tc>
          <w:tcPr>
            <w:tcW w:w="825" w:type="dxa"/>
            <w:noWrap/>
            <w:hideMark/>
          </w:tcPr>
          <w:p w14:paraId="5421ABDE" w14:textId="3C9FD670" w:rsidR="00F86093" w:rsidRPr="008C17AC" w:rsidRDefault="00F86093" w:rsidP="00F86093">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21.15</w:t>
            </w:r>
          </w:p>
        </w:tc>
      </w:tr>
      <w:tr w:rsidR="008C17AC" w:rsidRPr="008C17AC" w14:paraId="3419D919" w14:textId="77777777" w:rsidTr="1A6C9FDE">
        <w:trPr>
          <w:trHeight w:val="227"/>
        </w:trPr>
        <w:tc>
          <w:tcPr>
            <w:tcW w:w="2492" w:type="dxa"/>
            <w:vMerge/>
          </w:tcPr>
          <w:p w14:paraId="0D3A773A" w14:textId="77777777" w:rsidR="00257665" w:rsidRPr="008C17AC" w:rsidRDefault="00257665" w:rsidP="00257665">
            <w:pPr>
              <w:rPr>
                <w:rFonts w:ascii="Times New Roman" w:hAnsi="Times New Roman" w:cs="Times New Roman"/>
              </w:rPr>
            </w:pPr>
          </w:p>
        </w:tc>
        <w:tc>
          <w:tcPr>
            <w:tcW w:w="5103" w:type="dxa"/>
            <w:noWrap/>
          </w:tcPr>
          <w:p w14:paraId="16FCA552" w14:textId="23E278FD" w:rsidR="00257665" w:rsidRPr="008C17AC" w:rsidRDefault="00257665" w:rsidP="00257665">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Natural sciences</w:t>
            </w:r>
          </w:p>
        </w:tc>
        <w:tc>
          <w:tcPr>
            <w:tcW w:w="709" w:type="dxa"/>
            <w:noWrap/>
          </w:tcPr>
          <w:p w14:paraId="755EE592" w14:textId="42484007" w:rsidR="00257665" w:rsidRPr="008C17AC" w:rsidRDefault="00257665" w:rsidP="00257665">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5</w:t>
            </w:r>
          </w:p>
        </w:tc>
        <w:tc>
          <w:tcPr>
            <w:tcW w:w="825" w:type="dxa"/>
            <w:noWrap/>
          </w:tcPr>
          <w:p w14:paraId="549A0760" w14:textId="68CD1645" w:rsidR="00257665" w:rsidRPr="008C17AC" w:rsidRDefault="00257665" w:rsidP="00257665">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4.81</w:t>
            </w:r>
          </w:p>
        </w:tc>
      </w:tr>
      <w:tr w:rsidR="008C17AC" w:rsidRPr="008C17AC" w14:paraId="51C5B184" w14:textId="77777777" w:rsidTr="1A6C9FDE">
        <w:trPr>
          <w:trHeight w:val="227"/>
        </w:trPr>
        <w:tc>
          <w:tcPr>
            <w:tcW w:w="2492" w:type="dxa"/>
            <w:vMerge/>
          </w:tcPr>
          <w:p w14:paraId="70F9AA36" w14:textId="77777777" w:rsidR="00257665" w:rsidRPr="008C17AC" w:rsidRDefault="00257665" w:rsidP="00257665">
            <w:pPr>
              <w:rPr>
                <w:rFonts w:ascii="Times New Roman" w:hAnsi="Times New Roman" w:cs="Times New Roman"/>
              </w:rPr>
            </w:pPr>
          </w:p>
        </w:tc>
        <w:tc>
          <w:tcPr>
            <w:tcW w:w="5103" w:type="dxa"/>
            <w:noWrap/>
          </w:tcPr>
          <w:p w14:paraId="4DDA0230" w14:textId="5E8BC9F6" w:rsidR="00257665" w:rsidRPr="008C17AC" w:rsidRDefault="00257665" w:rsidP="00257665">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Medical and health sciences &amp; Social sciences</w:t>
            </w:r>
          </w:p>
        </w:tc>
        <w:tc>
          <w:tcPr>
            <w:tcW w:w="709" w:type="dxa"/>
            <w:noWrap/>
          </w:tcPr>
          <w:p w14:paraId="3F92D3BD" w14:textId="33CFD8E8" w:rsidR="00257665" w:rsidRPr="008C17AC" w:rsidRDefault="00257665" w:rsidP="00257665">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6</w:t>
            </w:r>
          </w:p>
        </w:tc>
        <w:tc>
          <w:tcPr>
            <w:tcW w:w="825" w:type="dxa"/>
            <w:noWrap/>
          </w:tcPr>
          <w:p w14:paraId="7ED1CD80" w14:textId="47C0FD65" w:rsidR="00257665" w:rsidRPr="008C17AC" w:rsidRDefault="00257665" w:rsidP="00257665">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5.77</w:t>
            </w:r>
          </w:p>
        </w:tc>
      </w:tr>
      <w:tr w:rsidR="00257665" w:rsidRPr="008C17AC" w14:paraId="04927A66" w14:textId="77777777" w:rsidTr="1A6C9FDE">
        <w:trPr>
          <w:trHeight w:val="227"/>
        </w:trPr>
        <w:tc>
          <w:tcPr>
            <w:tcW w:w="2492" w:type="dxa"/>
            <w:vMerge/>
          </w:tcPr>
          <w:p w14:paraId="61D5B96F" w14:textId="77777777" w:rsidR="00257665" w:rsidRPr="008C17AC" w:rsidRDefault="00257665" w:rsidP="00257665">
            <w:pPr>
              <w:rPr>
                <w:rFonts w:ascii="Times New Roman" w:hAnsi="Times New Roman" w:cs="Times New Roman"/>
              </w:rPr>
            </w:pPr>
          </w:p>
        </w:tc>
        <w:tc>
          <w:tcPr>
            <w:tcW w:w="5103" w:type="dxa"/>
            <w:noWrap/>
          </w:tcPr>
          <w:p w14:paraId="28380546" w14:textId="5C006B5B" w:rsidR="00257665" w:rsidRPr="008C17AC" w:rsidRDefault="00257665" w:rsidP="00257665">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Medical and health sciences &amp; Natural sciences</w:t>
            </w:r>
          </w:p>
        </w:tc>
        <w:tc>
          <w:tcPr>
            <w:tcW w:w="709" w:type="dxa"/>
            <w:noWrap/>
          </w:tcPr>
          <w:p w14:paraId="082F0CA0" w14:textId="1723698A" w:rsidR="00257665" w:rsidRPr="008C17AC" w:rsidRDefault="00257665" w:rsidP="00257665">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8</w:t>
            </w:r>
          </w:p>
        </w:tc>
        <w:tc>
          <w:tcPr>
            <w:tcW w:w="825" w:type="dxa"/>
            <w:noWrap/>
          </w:tcPr>
          <w:p w14:paraId="10040076" w14:textId="449480B0" w:rsidR="00257665" w:rsidRPr="008C17AC" w:rsidRDefault="00257665" w:rsidP="00257665">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7.69</w:t>
            </w:r>
          </w:p>
        </w:tc>
      </w:tr>
      <w:tr w:rsidR="00257665" w:rsidRPr="008C17AC" w14:paraId="481624FE" w14:textId="77777777" w:rsidTr="1A6C9FDE">
        <w:trPr>
          <w:trHeight w:val="227"/>
        </w:trPr>
        <w:tc>
          <w:tcPr>
            <w:tcW w:w="2492" w:type="dxa"/>
            <w:vMerge/>
          </w:tcPr>
          <w:p w14:paraId="289BD73B" w14:textId="77777777" w:rsidR="00257665" w:rsidRPr="008C17AC" w:rsidRDefault="00257665" w:rsidP="00257665">
            <w:pPr>
              <w:rPr>
                <w:rFonts w:ascii="Times New Roman" w:hAnsi="Times New Roman" w:cs="Times New Roman"/>
              </w:rPr>
            </w:pPr>
          </w:p>
        </w:tc>
        <w:tc>
          <w:tcPr>
            <w:tcW w:w="5103" w:type="dxa"/>
            <w:noWrap/>
          </w:tcPr>
          <w:p w14:paraId="026E5222" w14:textId="758839C1" w:rsidR="00257665" w:rsidRPr="008C17AC" w:rsidRDefault="00257665" w:rsidP="00257665">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Social sciences &amp; Natural sciences</w:t>
            </w:r>
          </w:p>
        </w:tc>
        <w:tc>
          <w:tcPr>
            <w:tcW w:w="709" w:type="dxa"/>
            <w:noWrap/>
          </w:tcPr>
          <w:p w14:paraId="5D5182DE" w14:textId="063D67E3" w:rsidR="00257665" w:rsidRPr="008C17AC" w:rsidRDefault="00257665" w:rsidP="00257665">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w:t>
            </w:r>
          </w:p>
        </w:tc>
        <w:tc>
          <w:tcPr>
            <w:tcW w:w="825" w:type="dxa"/>
            <w:noWrap/>
          </w:tcPr>
          <w:p w14:paraId="1B167869" w14:textId="7CC719DF" w:rsidR="00257665" w:rsidRPr="008C17AC" w:rsidRDefault="00257665" w:rsidP="00257665">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0.96</w:t>
            </w:r>
          </w:p>
        </w:tc>
      </w:tr>
      <w:tr w:rsidR="008C17AC" w:rsidRPr="008C17AC" w14:paraId="290B4928" w14:textId="77777777" w:rsidTr="1A6C9FDE">
        <w:trPr>
          <w:trHeight w:val="227"/>
        </w:trPr>
        <w:tc>
          <w:tcPr>
            <w:tcW w:w="2492" w:type="dxa"/>
            <w:vMerge/>
          </w:tcPr>
          <w:p w14:paraId="4FC72E95" w14:textId="77777777" w:rsidR="00257665" w:rsidRPr="008C17AC" w:rsidRDefault="00257665" w:rsidP="00257665">
            <w:pPr>
              <w:rPr>
                <w:rFonts w:ascii="Times New Roman" w:hAnsi="Times New Roman" w:cs="Times New Roman"/>
              </w:rPr>
            </w:pPr>
          </w:p>
        </w:tc>
        <w:tc>
          <w:tcPr>
            <w:tcW w:w="5103" w:type="dxa"/>
            <w:noWrap/>
            <w:hideMark/>
          </w:tcPr>
          <w:p w14:paraId="1495FDBE" w14:textId="29449140" w:rsidR="00257665" w:rsidRPr="008C17AC" w:rsidRDefault="00257665" w:rsidP="00257665">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Multidisciplinary</w:t>
            </w:r>
          </w:p>
        </w:tc>
        <w:tc>
          <w:tcPr>
            <w:tcW w:w="709" w:type="dxa"/>
            <w:noWrap/>
            <w:hideMark/>
          </w:tcPr>
          <w:p w14:paraId="593410DA" w14:textId="77777777" w:rsidR="00257665" w:rsidRPr="008C17AC" w:rsidRDefault="00257665" w:rsidP="00257665">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5</w:t>
            </w:r>
          </w:p>
        </w:tc>
        <w:tc>
          <w:tcPr>
            <w:tcW w:w="825" w:type="dxa"/>
            <w:noWrap/>
            <w:hideMark/>
          </w:tcPr>
          <w:p w14:paraId="3D776931" w14:textId="41012261" w:rsidR="00257665" w:rsidRPr="008C17AC" w:rsidRDefault="00257665" w:rsidP="00257665">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4.81</w:t>
            </w:r>
          </w:p>
        </w:tc>
      </w:tr>
      <w:tr w:rsidR="008C17AC" w:rsidRPr="008C17AC" w14:paraId="33865A6C" w14:textId="77777777" w:rsidTr="1A6C9FDE">
        <w:trPr>
          <w:trHeight w:val="227"/>
        </w:trPr>
        <w:tc>
          <w:tcPr>
            <w:tcW w:w="2492" w:type="dxa"/>
            <w:vMerge w:val="restart"/>
          </w:tcPr>
          <w:p w14:paraId="7018222B" w14:textId="71EC8D86" w:rsidR="00CA1F3F" w:rsidRPr="008C17AC" w:rsidRDefault="00CA1F3F" w:rsidP="00CA1F3F">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Intervention type</w:t>
            </w:r>
          </w:p>
        </w:tc>
        <w:tc>
          <w:tcPr>
            <w:tcW w:w="5103" w:type="dxa"/>
            <w:noWrap/>
          </w:tcPr>
          <w:p w14:paraId="75993D2D" w14:textId="7E01FB03" w:rsidR="00CA1F3F" w:rsidRPr="008C17AC" w:rsidRDefault="009A6CCE" w:rsidP="00CA1F3F">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Open methodology</w:t>
            </w:r>
          </w:p>
        </w:tc>
        <w:tc>
          <w:tcPr>
            <w:tcW w:w="709" w:type="dxa"/>
            <w:noWrap/>
          </w:tcPr>
          <w:p w14:paraId="12CCEB00" w14:textId="54D868CC" w:rsidR="00CA1F3F" w:rsidRPr="008C17AC" w:rsidRDefault="009A6CCE" w:rsidP="00CA1F3F">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10</w:t>
            </w:r>
          </w:p>
        </w:tc>
        <w:tc>
          <w:tcPr>
            <w:tcW w:w="825" w:type="dxa"/>
            <w:noWrap/>
          </w:tcPr>
          <w:p w14:paraId="5A601805" w14:textId="5FD6F374" w:rsidR="00CA1F3F" w:rsidRPr="008C17AC" w:rsidRDefault="00ED04F2" w:rsidP="00CA1F3F">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9</w:t>
            </w:r>
            <w:r w:rsidR="00CA1F3F" w:rsidRPr="008C17AC">
              <w:rPr>
                <w:rFonts w:ascii="Times New Roman" w:eastAsia="Times New Roman" w:hAnsi="Times New Roman" w:cs="Times New Roman"/>
                <w:lang w:eastAsia="nl-NL"/>
              </w:rPr>
              <w:t>.62</w:t>
            </w:r>
          </w:p>
        </w:tc>
      </w:tr>
      <w:tr w:rsidR="008C17AC" w:rsidRPr="008C17AC" w14:paraId="58988BB5" w14:textId="77777777" w:rsidTr="1A6C9FDE">
        <w:trPr>
          <w:trHeight w:val="227"/>
        </w:trPr>
        <w:tc>
          <w:tcPr>
            <w:tcW w:w="2492" w:type="dxa"/>
            <w:vMerge/>
          </w:tcPr>
          <w:p w14:paraId="1EB3A460" w14:textId="77777777" w:rsidR="00CA1F3F" w:rsidRPr="008C17AC" w:rsidRDefault="00CA1F3F" w:rsidP="00CA1F3F">
            <w:pPr>
              <w:spacing w:line="216" w:lineRule="auto"/>
              <w:rPr>
                <w:rFonts w:ascii="Times New Roman" w:eastAsia="Times New Roman" w:hAnsi="Times New Roman" w:cs="Times New Roman"/>
                <w:lang w:eastAsia="nl-NL"/>
              </w:rPr>
            </w:pPr>
          </w:p>
        </w:tc>
        <w:tc>
          <w:tcPr>
            <w:tcW w:w="5103" w:type="dxa"/>
            <w:noWrap/>
          </w:tcPr>
          <w:p w14:paraId="6CB5BAD5" w14:textId="76C16C4E" w:rsidR="00CA1F3F" w:rsidRPr="008C17AC" w:rsidRDefault="00CA1F3F" w:rsidP="00CA1F3F">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Rewards and incentives</w:t>
            </w:r>
          </w:p>
        </w:tc>
        <w:tc>
          <w:tcPr>
            <w:tcW w:w="709" w:type="dxa"/>
            <w:noWrap/>
          </w:tcPr>
          <w:p w14:paraId="12CD73EB" w14:textId="7564D29C" w:rsidR="00CA1F3F" w:rsidRPr="008C17AC" w:rsidRDefault="00CA1F3F" w:rsidP="00CA1F3F">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9</w:t>
            </w:r>
          </w:p>
        </w:tc>
        <w:tc>
          <w:tcPr>
            <w:tcW w:w="825" w:type="dxa"/>
            <w:noWrap/>
          </w:tcPr>
          <w:p w14:paraId="6EE4BFA2" w14:textId="37F0A8A1" w:rsidR="00CA1F3F" w:rsidRPr="008C17AC" w:rsidRDefault="00CA1F3F" w:rsidP="00CA1F3F">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8.65</w:t>
            </w:r>
          </w:p>
        </w:tc>
      </w:tr>
      <w:tr w:rsidR="008C17AC" w:rsidRPr="008C17AC" w14:paraId="2FAA1A17" w14:textId="77777777" w:rsidTr="1A6C9FDE">
        <w:trPr>
          <w:trHeight w:val="227"/>
        </w:trPr>
        <w:tc>
          <w:tcPr>
            <w:tcW w:w="2492" w:type="dxa"/>
            <w:vMerge/>
          </w:tcPr>
          <w:p w14:paraId="7D28CD69" w14:textId="0586ADB6" w:rsidR="00CA1F3F" w:rsidRPr="008C17AC" w:rsidRDefault="00CA1F3F" w:rsidP="00CA1F3F">
            <w:pPr>
              <w:spacing w:line="216" w:lineRule="auto"/>
              <w:rPr>
                <w:rFonts w:ascii="Times New Roman" w:eastAsia="Times New Roman" w:hAnsi="Times New Roman" w:cs="Times New Roman"/>
                <w:lang w:eastAsia="nl-NL"/>
              </w:rPr>
            </w:pPr>
          </w:p>
        </w:tc>
        <w:tc>
          <w:tcPr>
            <w:tcW w:w="5103" w:type="dxa"/>
            <w:noWrap/>
            <w:hideMark/>
          </w:tcPr>
          <w:p w14:paraId="659D788E" w14:textId="64A9A994" w:rsidR="00CA1F3F" w:rsidRPr="008C17AC" w:rsidRDefault="00CA1F3F" w:rsidP="00CA1F3F">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Reporting guidelines, reporting standards</w:t>
            </w:r>
          </w:p>
        </w:tc>
        <w:tc>
          <w:tcPr>
            <w:tcW w:w="709" w:type="dxa"/>
            <w:noWrap/>
            <w:hideMark/>
          </w:tcPr>
          <w:p w14:paraId="6526C603" w14:textId="77777777" w:rsidR="00CA1F3F" w:rsidRPr="008C17AC" w:rsidRDefault="00CA1F3F" w:rsidP="00CA1F3F">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15</w:t>
            </w:r>
          </w:p>
        </w:tc>
        <w:tc>
          <w:tcPr>
            <w:tcW w:w="825" w:type="dxa"/>
            <w:noWrap/>
            <w:hideMark/>
          </w:tcPr>
          <w:p w14:paraId="1B87468C" w14:textId="6CDBCB43" w:rsidR="00CA1F3F" w:rsidRPr="008C17AC" w:rsidRDefault="00CA1F3F" w:rsidP="00CA1F3F">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14.42</w:t>
            </w:r>
          </w:p>
        </w:tc>
      </w:tr>
      <w:tr w:rsidR="00CA1F3F" w:rsidRPr="008C17AC" w14:paraId="58F23893" w14:textId="77777777" w:rsidTr="1A6C9FDE">
        <w:trPr>
          <w:trHeight w:val="227"/>
        </w:trPr>
        <w:tc>
          <w:tcPr>
            <w:tcW w:w="2492" w:type="dxa"/>
            <w:vMerge/>
          </w:tcPr>
          <w:p w14:paraId="2DF394B3" w14:textId="689C58BB" w:rsidR="00CA1F3F" w:rsidRPr="008C17AC" w:rsidRDefault="00CA1F3F" w:rsidP="00CA1F3F">
            <w:pPr>
              <w:spacing w:line="216" w:lineRule="auto"/>
              <w:rPr>
                <w:rFonts w:ascii="Times New Roman" w:eastAsia="Times New Roman" w:hAnsi="Times New Roman" w:cs="Times New Roman"/>
                <w:lang w:eastAsia="nl-NL"/>
              </w:rPr>
            </w:pPr>
          </w:p>
        </w:tc>
        <w:tc>
          <w:tcPr>
            <w:tcW w:w="5103" w:type="dxa"/>
            <w:noWrap/>
          </w:tcPr>
          <w:p w14:paraId="071F816F" w14:textId="3E49B69F" w:rsidR="00CA1F3F" w:rsidRPr="008C17AC" w:rsidRDefault="00CA1F3F" w:rsidP="00CA1F3F">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Policy guidelines (e.g. of funders and journals)</w:t>
            </w:r>
          </w:p>
        </w:tc>
        <w:tc>
          <w:tcPr>
            <w:tcW w:w="709" w:type="dxa"/>
            <w:noWrap/>
          </w:tcPr>
          <w:p w14:paraId="5EB52802" w14:textId="2CEFBEF0" w:rsidR="00CA1F3F" w:rsidRPr="008C17AC" w:rsidRDefault="00CA1F3F" w:rsidP="00CA1F3F">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49</w:t>
            </w:r>
          </w:p>
        </w:tc>
        <w:tc>
          <w:tcPr>
            <w:tcW w:w="825" w:type="dxa"/>
            <w:noWrap/>
          </w:tcPr>
          <w:p w14:paraId="66CCC6C4" w14:textId="047CDA7A" w:rsidR="00CA1F3F" w:rsidRPr="008C17AC" w:rsidRDefault="00CA1F3F" w:rsidP="00CA1F3F">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47.12</w:t>
            </w:r>
          </w:p>
        </w:tc>
      </w:tr>
      <w:tr w:rsidR="00CA1F3F" w:rsidRPr="008C17AC" w14:paraId="29A07806" w14:textId="77777777" w:rsidTr="1A6C9FDE">
        <w:trPr>
          <w:trHeight w:val="227"/>
        </w:trPr>
        <w:tc>
          <w:tcPr>
            <w:tcW w:w="2492" w:type="dxa"/>
            <w:vMerge/>
          </w:tcPr>
          <w:p w14:paraId="01388F70" w14:textId="4EE3EC23" w:rsidR="00CA1F3F" w:rsidRPr="008C17AC" w:rsidRDefault="00CA1F3F" w:rsidP="00CA1F3F">
            <w:pPr>
              <w:spacing w:line="216" w:lineRule="auto"/>
              <w:rPr>
                <w:rFonts w:ascii="Times New Roman" w:eastAsia="Times New Roman" w:hAnsi="Times New Roman" w:cs="Times New Roman"/>
                <w:lang w:eastAsia="nl-NL"/>
              </w:rPr>
            </w:pPr>
          </w:p>
        </w:tc>
        <w:tc>
          <w:tcPr>
            <w:tcW w:w="5103" w:type="dxa"/>
            <w:noWrap/>
          </w:tcPr>
          <w:p w14:paraId="5F714467" w14:textId="0B718FEA" w:rsidR="00CA1F3F" w:rsidRPr="008C17AC" w:rsidRDefault="00D41948" w:rsidP="00CA1F3F">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Open data and materials</w:t>
            </w:r>
          </w:p>
        </w:tc>
        <w:tc>
          <w:tcPr>
            <w:tcW w:w="709" w:type="dxa"/>
            <w:noWrap/>
          </w:tcPr>
          <w:p w14:paraId="175A1DEE" w14:textId="23AA3867" w:rsidR="00CA1F3F" w:rsidRPr="008C17AC" w:rsidRDefault="00D41948" w:rsidP="00CA1F3F">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2</w:t>
            </w:r>
          </w:p>
        </w:tc>
        <w:tc>
          <w:tcPr>
            <w:tcW w:w="825" w:type="dxa"/>
            <w:noWrap/>
          </w:tcPr>
          <w:p w14:paraId="773AE642" w14:textId="0745DB1C" w:rsidR="00CA1F3F" w:rsidRPr="008C17AC" w:rsidRDefault="1E3CE01C" w:rsidP="0068783E">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1.92</w:t>
            </w:r>
          </w:p>
        </w:tc>
      </w:tr>
      <w:tr w:rsidR="009B4002" w:rsidRPr="008C17AC" w14:paraId="522D6835" w14:textId="77777777" w:rsidTr="1A6C9FDE">
        <w:trPr>
          <w:trHeight w:val="227"/>
        </w:trPr>
        <w:tc>
          <w:tcPr>
            <w:tcW w:w="2492" w:type="dxa"/>
            <w:vMerge/>
          </w:tcPr>
          <w:p w14:paraId="1C55C369" w14:textId="77777777" w:rsidR="009B4002" w:rsidRPr="008C17AC" w:rsidRDefault="009B4002" w:rsidP="009B4002">
            <w:pPr>
              <w:spacing w:line="216" w:lineRule="auto"/>
              <w:rPr>
                <w:rFonts w:ascii="Times New Roman" w:eastAsia="Times New Roman" w:hAnsi="Times New Roman" w:cs="Times New Roman"/>
                <w:lang w:eastAsia="nl-NL"/>
              </w:rPr>
            </w:pPr>
          </w:p>
        </w:tc>
        <w:tc>
          <w:tcPr>
            <w:tcW w:w="5103" w:type="dxa"/>
            <w:noWrap/>
          </w:tcPr>
          <w:p w14:paraId="213659A7" w14:textId="32B9D592" w:rsidR="009B4002" w:rsidRPr="008C17AC" w:rsidRDefault="009B4002" w:rsidP="009B4002">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Training</w:t>
            </w:r>
          </w:p>
        </w:tc>
        <w:tc>
          <w:tcPr>
            <w:tcW w:w="709" w:type="dxa"/>
            <w:noWrap/>
          </w:tcPr>
          <w:p w14:paraId="3D1A3296" w14:textId="1E431344"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2</w:t>
            </w:r>
          </w:p>
        </w:tc>
        <w:tc>
          <w:tcPr>
            <w:tcW w:w="825" w:type="dxa"/>
            <w:noWrap/>
          </w:tcPr>
          <w:p w14:paraId="311372F1" w14:textId="0E46C749" w:rsidR="009B4002" w:rsidRPr="008C17AC" w:rsidRDefault="5E976D56" w:rsidP="0068783E">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1.92</w:t>
            </w:r>
          </w:p>
        </w:tc>
      </w:tr>
      <w:tr w:rsidR="009B4002" w:rsidRPr="008C17AC" w14:paraId="5F4FF73C" w14:textId="77777777" w:rsidTr="1A6C9FDE">
        <w:trPr>
          <w:trHeight w:val="227"/>
        </w:trPr>
        <w:tc>
          <w:tcPr>
            <w:tcW w:w="2492" w:type="dxa"/>
            <w:vMerge/>
          </w:tcPr>
          <w:p w14:paraId="7145FD32" w14:textId="47579622" w:rsidR="009B4002" w:rsidRPr="008C17AC" w:rsidRDefault="009B4002" w:rsidP="009B4002">
            <w:pPr>
              <w:spacing w:line="216" w:lineRule="auto"/>
              <w:rPr>
                <w:rFonts w:ascii="Times New Roman" w:eastAsia="Times New Roman" w:hAnsi="Times New Roman" w:cs="Times New Roman"/>
                <w:lang w:eastAsia="nl-NL"/>
              </w:rPr>
            </w:pPr>
          </w:p>
        </w:tc>
        <w:tc>
          <w:tcPr>
            <w:tcW w:w="5103" w:type="dxa"/>
            <w:noWrap/>
            <w:hideMark/>
          </w:tcPr>
          <w:p w14:paraId="0C295660" w14:textId="03B6C602" w:rsidR="009B4002" w:rsidRPr="008C17AC" w:rsidRDefault="003B11A6" w:rsidP="009B4002">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Open science tools</w:t>
            </w:r>
          </w:p>
        </w:tc>
        <w:tc>
          <w:tcPr>
            <w:tcW w:w="709" w:type="dxa"/>
            <w:noWrap/>
            <w:hideMark/>
          </w:tcPr>
          <w:p w14:paraId="28E34C56" w14:textId="251CF671" w:rsidR="009B4002" w:rsidRPr="008C17AC" w:rsidRDefault="007079EC"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7</w:t>
            </w:r>
          </w:p>
        </w:tc>
        <w:tc>
          <w:tcPr>
            <w:tcW w:w="825" w:type="dxa"/>
            <w:noWrap/>
            <w:hideMark/>
          </w:tcPr>
          <w:p w14:paraId="32F44035" w14:textId="69DC5C33" w:rsidR="009B4002" w:rsidRPr="008C17AC" w:rsidRDefault="007079EC"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6.73</w:t>
            </w:r>
          </w:p>
        </w:tc>
      </w:tr>
      <w:tr w:rsidR="008C17AC" w:rsidRPr="008C17AC" w14:paraId="66F260AF" w14:textId="77777777" w:rsidTr="1A6C9FDE">
        <w:trPr>
          <w:trHeight w:val="227"/>
        </w:trPr>
        <w:tc>
          <w:tcPr>
            <w:tcW w:w="2492" w:type="dxa"/>
            <w:vMerge/>
          </w:tcPr>
          <w:p w14:paraId="5DED1FB1" w14:textId="77777777" w:rsidR="009B4002" w:rsidRPr="008C17AC" w:rsidRDefault="009B4002" w:rsidP="009B4002">
            <w:pPr>
              <w:spacing w:line="216" w:lineRule="auto"/>
              <w:rPr>
                <w:rFonts w:ascii="Times New Roman" w:eastAsia="Times New Roman" w:hAnsi="Times New Roman" w:cs="Times New Roman"/>
                <w:lang w:eastAsia="nl-NL"/>
              </w:rPr>
            </w:pPr>
          </w:p>
        </w:tc>
        <w:tc>
          <w:tcPr>
            <w:tcW w:w="5103" w:type="dxa"/>
            <w:noWrap/>
          </w:tcPr>
          <w:p w14:paraId="6CE5B100" w14:textId="3C1FA8FF" w:rsidR="009B4002" w:rsidRPr="008C17AC" w:rsidRDefault="009B4002" w:rsidP="009B4002">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Other</w:t>
            </w:r>
          </w:p>
        </w:tc>
        <w:tc>
          <w:tcPr>
            <w:tcW w:w="709" w:type="dxa"/>
            <w:noWrap/>
          </w:tcPr>
          <w:p w14:paraId="42C435D3" w14:textId="16D1AD9E"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4</w:t>
            </w:r>
          </w:p>
        </w:tc>
        <w:tc>
          <w:tcPr>
            <w:tcW w:w="825" w:type="dxa"/>
            <w:noWrap/>
          </w:tcPr>
          <w:p w14:paraId="7C51BDFC" w14:textId="4EABDAF3" w:rsidR="009B4002" w:rsidRPr="008C17AC" w:rsidRDefault="00FE02C3"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3.85</w:t>
            </w:r>
          </w:p>
        </w:tc>
      </w:tr>
      <w:tr w:rsidR="008C17AC" w:rsidRPr="008C17AC" w14:paraId="36B52B7E" w14:textId="77777777" w:rsidTr="1A6C9FDE">
        <w:trPr>
          <w:trHeight w:val="227"/>
        </w:trPr>
        <w:tc>
          <w:tcPr>
            <w:tcW w:w="2492" w:type="dxa"/>
            <w:vMerge w:val="restart"/>
          </w:tcPr>
          <w:p w14:paraId="292F5D66" w14:textId="69E837B0" w:rsidR="009B4002" w:rsidRPr="008C17AC" w:rsidRDefault="009B4002" w:rsidP="009B4002">
            <w:pPr>
              <w:spacing w:line="216" w:lineRule="auto"/>
              <w:rPr>
                <w:rFonts w:ascii="Times New Roman" w:eastAsia="Times New Roman" w:hAnsi="Times New Roman" w:cs="Times New Roman"/>
              </w:rPr>
            </w:pPr>
            <w:r w:rsidRPr="008C17AC">
              <w:rPr>
                <w:rFonts w:ascii="Times New Roman" w:eastAsia="Times New Roman" w:hAnsi="Times New Roman" w:cs="Times New Roman"/>
              </w:rPr>
              <w:t>Intervention implementer</w:t>
            </w:r>
          </w:p>
        </w:tc>
        <w:tc>
          <w:tcPr>
            <w:tcW w:w="5103" w:type="dxa"/>
            <w:noWrap/>
          </w:tcPr>
          <w:p w14:paraId="1FEB21DB" w14:textId="76BEECCE" w:rsidR="009B4002" w:rsidRPr="008C17AC" w:rsidRDefault="009B4002" w:rsidP="009B4002">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rPr>
              <w:t>Journal or publisher</w:t>
            </w:r>
          </w:p>
        </w:tc>
        <w:tc>
          <w:tcPr>
            <w:tcW w:w="709" w:type="dxa"/>
            <w:noWrap/>
          </w:tcPr>
          <w:p w14:paraId="1A7E8B41" w14:textId="158F9FFD"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63</w:t>
            </w:r>
          </w:p>
        </w:tc>
        <w:tc>
          <w:tcPr>
            <w:tcW w:w="825" w:type="dxa"/>
            <w:noWrap/>
          </w:tcPr>
          <w:p w14:paraId="03B0F50A" w14:textId="4B992087"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60.58</w:t>
            </w:r>
          </w:p>
        </w:tc>
      </w:tr>
      <w:tr w:rsidR="008C17AC" w:rsidRPr="008C17AC" w14:paraId="38B6C23E" w14:textId="77777777" w:rsidTr="1A6C9FDE">
        <w:trPr>
          <w:trHeight w:val="227"/>
        </w:trPr>
        <w:tc>
          <w:tcPr>
            <w:tcW w:w="2492" w:type="dxa"/>
            <w:vMerge/>
          </w:tcPr>
          <w:p w14:paraId="3A7761DF" w14:textId="77777777" w:rsidR="009B4002" w:rsidRPr="008C17AC" w:rsidRDefault="009B4002" w:rsidP="009B4002">
            <w:pPr>
              <w:spacing w:line="216" w:lineRule="auto"/>
              <w:rPr>
                <w:rFonts w:ascii="Times New Roman" w:eastAsia="Times New Roman" w:hAnsi="Times New Roman" w:cs="Times New Roman"/>
              </w:rPr>
            </w:pPr>
          </w:p>
        </w:tc>
        <w:tc>
          <w:tcPr>
            <w:tcW w:w="5103" w:type="dxa"/>
            <w:noWrap/>
          </w:tcPr>
          <w:p w14:paraId="10F286CD" w14:textId="00C26649" w:rsidR="009B4002" w:rsidRPr="008C17AC" w:rsidRDefault="009B4002" w:rsidP="009B4002">
            <w:pPr>
              <w:spacing w:line="216" w:lineRule="auto"/>
              <w:rPr>
                <w:rFonts w:ascii="Times New Roman" w:eastAsia="Times New Roman" w:hAnsi="Times New Roman" w:cs="Times New Roman"/>
              </w:rPr>
            </w:pPr>
            <w:r w:rsidRPr="008C17AC">
              <w:rPr>
                <w:rFonts w:ascii="Times New Roman" w:eastAsia="Times New Roman" w:hAnsi="Times New Roman" w:cs="Times New Roman"/>
              </w:rPr>
              <w:t>Academic staff</w:t>
            </w:r>
          </w:p>
        </w:tc>
        <w:tc>
          <w:tcPr>
            <w:tcW w:w="709" w:type="dxa"/>
            <w:noWrap/>
          </w:tcPr>
          <w:p w14:paraId="432A1155" w14:textId="3CDAA808"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16</w:t>
            </w:r>
          </w:p>
        </w:tc>
        <w:tc>
          <w:tcPr>
            <w:tcW w:w="825" w:type="dxa"/>
            <w:noWrap/>
          </w:tcPr>
          <w:p w14:paraId="3FE7BFD2" w14:textId="1359AE40"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15.38</w:t>
            </w:r>
          </w:p>
        </w:tc>
      </w:tr>
      <w:tr w:rsidR="008C17AC" w:rsidRPr="008C17AC" w14:paraId="630DF6EE" w14:textId="77777777" w:rsidTr="1A6C9FDE">
        <w:trPr>
          <w:trHeight w:val="227"/>
        </w:trPr>
        <w:tc>
          <w:tcPr>
            <w:tcW w:w="2492" w:type="dxa"/>
            <w:vMerge/>
          </w:tcPr>
          <w:p w14:paraId="71346526" w14:textId="6B6E0BB7" w:rsidR="009B4002" w:rsidRPr="008C17AC" w:rsidRDefault="009B4002" w:rsidP="009B4002">
            <w:pPr>
              <w:spacing w:line="216" w:lineRule="auto"/>
              <w:rPr>
                <w:rFonts w:ascii="Times New Roman" w:eastAsia="Times New Roman" w:hAnsi="Times New Roman" w:cs="Times New Roman"/>
              </w:rPr>
            </w:pPr>
          </w:p>
        </w:tc>
        <w:tc>
          <w:tcPr>
            <w:tcW w:w="5103" w:type="dxa"/>
            <w:noWrap/>
          </w:tcPr>
          <w:p w14:paraId="4511AA73" w14:textId="634098A1" w:rsidR="009B4002" w:rsidRPr="008C17AC" w:rsidRDefault="009B4002" w:rsidP="009B4002">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rPr>
              <w:t>Institution</w:t>
            </w:r>
          </w:p>
        </w:tc>
        <w:tc>
          <w:tcPr>
            <w:tcW w:w="709" w:type="dxa"/>
            <w:noWrap/>
          </w:tcPr>
          <w:p w14:paraId="51C4DC69" w14:textId="32F9CF21"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4</w:t>
            </w:r>
          </w:p>
        </w:tc>
        <w:tc>
          <w:tcPr>
            <w:tcW w:w="825" w:type="dxa"/>
            <w:noWrap/>
          </w:tcPr>
          <w:p w14:paraId="084891CC" w14:textId="6F4DA7C3"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3.85</w:t>
            </w:r>
          </w:p>
        </w:tc>
      </w:tr>
      <w:tr w:rsidR="009B4002" w:rsidRPr="008C17AC" w14:paraId="69736D48" w14:textId="77777777" w:rsidTr="1A6C9FDE">
        <w:trPr>
          <w:trHeight w:val="227"/>
        </w:trPr>
        <w:tc>
          <w:tcPr>
            <w:tcW w:w="2492" w:type="dxa"/>
            <w:vMerge/>
          </w:tcPr>
          <w:p w14:paraId="58CAAFF3" w14:textId="07766113" w:rsidR="009B4002" w:rsidRPr="008C17AC" w:rsidRDefault="009B4002" w:rsidP="009B4002">
            <w:pPr>
              <w:spacing w:line="216" w:lineRule="auto"/>
              <w:rPr>
                <w:rFonts w:ascii="Times New Roman" w:eastAsia="Times New Roman" w:hAnsi="Times New Roman" w:cs="Times New Roman"/>
                <w:lang w:eastAsia="nl-NL"/>
              </w:rPr>
            </w:pPr>
          </w:p>
        </w:tc>
        <w:tc>
          <w:tcPr>
            <w:tcW w:w="5103" w:type="dxa"/>
            <w:noWrap/>
          </w:tcPr>
          <w:p w14:paraId="53F07537" w14:textId="18604DAE" w:rsidR="009B4002" w:rsidRPr="008C17AC" w:rsidRDefault="009B4002" w:rsidP="009B4002">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Peer reviewer</w:t>
            </w:r>
          </w:p>
        </w:tc>
        <w:tc>
          <w:tcPr>
            <w:tcW w:w="709" w:type="dxa"/>
            <w:noWrap/>
          </w:tcPr>
          <w:p w14:paraId="4ACDAF13" w14:textId="7844C132"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2</w:t>
            </w:r>
          </w:p>
        </w:tc>
        <w:tc>
          <w:tcPr>
            <w:tcW w:w="825" w:type="dxa"/>
            <w:noWrap/>
          </w:tcPr>
          <w:p w14:paraId="4FC23B8D" w14:textId="70620E0B"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1.92</w:t>
            </w:r>
          </w:p>
        </w:tc>
      </w:tr>
      <w:tr w:rsidR="009B4002" w:rsidRPr="008C17AC" w14:paraId="6C56825C" w14:textId="77777777" w:rsidTr="1A6C9FDE">
        <w:trPr>
          <w:trHeight w:val="227"/>
        </w:trPr>
        <w:tc>
          <w:tcPr>
            <w:tcW w:w="2492" w:type="dxa"/>
            <w:vMerge/>
          </w:tcPr>
          <w:p w14:paraId="0D1D371C" w14:textId="2124C158" w:rsidR="009B4002" w:rsidRPr="008C17AC" w:rsidRDefault="009B4002" w:rsidP="009B4002">
            <w:pPr>
              <w:spacing w:line="216" w:lineRule="auto"/>
              <w:rPr>
                <w:rFonts w:ascii="Times New Roman" w:eastAsia="Times New Roman" w:hAnsi="Times New Roman" w:cs="Times New Roman"/>
              </w:rPr>
            </w:pPr>
          </w:p>
        </w:tc>
        <w:tc>
          <w:tcPr>
            <w:tcW w:w="5103" w:type="dxa"/>
            <w:noWrap/>
          </w:tcPr>
          <w:p w14:paraId="7DA02B9A" w14:textId="1E322ED7" w:rsidR="009B4002" w:rsidRPr="008C17AC" w:rsidRDefault="009B4002" w:rsidP="009B4002">
            <w:pPr>
              <w:spacing w:line="216" w:lineRule="auto"/>
              <w:rPr>
                <w:rFonts w:ascii="Times New Roman" w:eastAsia="Times New Roman" w:hAnsi="Times New Roman" w:cs="Times New Roman"/>
              </w:rPr>
            </w:pPr>
            <w:r w:rsidRPr="008C17AC">
              <w:rPr>
                <w:rFonts w:ascii="Times New Roman" w:eastAsia="Times New Roman" w:hAnsi="Times New Roman" w:cs="Times New Roman"/>
              </w:rPr>
              <w:t>Government</w:t>
            </w:r>
          </w:p>
        </w:tc>
        <w:tc>
          <w:tcPr>
            <w:tcW w:w="709" w:type="dxa"/>
            <w:noWrap/>
          </w:tcPr>
          <w:p w14:paraId="04B59C99" w14:textId="3C613042"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w:t>
            </w:r>
          </w:p>
        </w:tc>
        <w:tc>
          <w:tcPr>
            <w:tcW w:w="825" w:type="dxa"/>
            <w:noWrap/>
          </w:tcPr>
          <w:p w14:paraId="4645518E" w14:textId="616EECCA"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0.96</w:t>
            </w:r>
          </w:p>
        </w:tc>
      </w:tr>
      <w:tr w:rsidR="009B4002" w:rsidRPr="008C17AC" w14:paraId="4D342DF5" w14:textId="77777777" w:rsidTr="1A6C9FDE">
        <w:trPr>
          <w:trHeight w:val="227"/>
        </w:trPr>
        <w:tc>
          <w:tcPr>
            <w:tcW w:w="2492" w:type="dxa"/>
            <w:vMerge/>
          </w:tcPr>
          <w:p w14:paraId="6892C3CC" w14:textId="07766581" w:rsidR="009B4002" w:rsidRPr="008C17AC" w:rsidRDefault="009B4002" w:rsidP="009B4002">
            <w:pPr>
              <w:spacing w:line="216" w:lineRule="auto"/>
              <w:rPr>
                <w:rFonts w:ascii="Times New Roman" w:eastAsia="Times New Roman" w:hAnsi="Times New Roman" w:cs="Times New Roman"/>
              </w:rPr>
            </w:pPr>
          </w:p>
        </w:tc>
        <w:tc>
          <w:tcPr>
            <w:tcW w:w="5103" w:type="dxa"/>
            <w:noWrap/>
          </w:tcPr>
          <w:p w14:paraId="24F04E77" w14:textId="5CAA1273" w:rsidR="009B4002" w:rsidRPr="008C17AC" w:rsidRDefault="009B4002" w:rsidP="009B4002">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rPr>
              <w:t>Multiple or other entities</w:t>
            </w:r>
          </w:p>
        </w:tc>
        <w:tc>
          <w:tcPr>
            <w:tcW w:w="709" w:type="dxa"/>
            <w:noWrap/>
          </w:tcPr>
          <w:p w14:paraId="31FEFE41" w14:textId="5B6A1822"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6</w:t>
            </w:r>
          </w:p>
        </w:tc>
        <w:tc>
          <w:tcPr>
            <w:tcW w:w="825" w:type="dxa"/>
            <w:noWrap/>
          </w:tcPr>
          <w:p w14:paraId="1E6CC0FB" w14:textId="611A7618"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5.77</w:t>
            </w:r>
          </w:p>
        </w:tc>
      </w:tr>
      <w:tr w:rsidR="008C17AC" w:rsidRPr="008C17AC" w14:paraId="1EB2C6FE" w14:textId="77777777" w:rsidTr="1A6C9FDE">
        <w:trPr>
          <w:trHeight w:val="227"/>
        </w:trPr>
        <w:tc>
          <w:tcPr>
            <w:tcW w:w="2492" w:type="dxa"/>
            <w:vMerge/>
          </w:tcPr>
          <w:p w14:paraId="34C1FD67" w14:textId="6469CAA0" w:rsidR="009B4002" w:rsidRPr="008C17AC" w:rsidRDefault="009B4002" w:rsidP="009B4002">
            <w:pPr>
              <w:spacing w:line="216" w:lineRule="auto"/>
              <w:rPr>
                <w:rFonts w:ascii="Times New Roman" w:eastAsia="Times New Roman" w:hAnsi="Times New Roman" w:cs="Times New Roman"/>
              </w:rPr>
            </w:pPr>
          </w:p>
        </w:tc>
        <w:tc>
          <w:tcPr>
            <w:tcW w:w="5103" w:type="dxa"/>
            <w:noWrap/>
          </w:tcPr>
          <w:p w14:paraId="36481ED6" w14:textId="07D5B8FF" w:rsidR="009B4002" w:rsidRPr="008C17AC" w:rsidRDefault="009B4002" w:rsidP="009B4002">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rPr>
              <w:t>Not applicable</w:t>
            </w:r>
          </w:p>
        </w:tc>
        <w:tc>
          <w:tcPr>
            <w:tcW w:w="709" w:type="dxa"/>
            <w:noWrap/>
          </w:tcPr>
          <w:p w14:paraId="07D3BAE2" w14:textId="404862DC"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12</w:t>
            </w:r>
          </w:p>
        </w:tc>
        <w:tc>
          <w:tcPr>
            <w:tcW w:w="825" w:type="dxa"/>
            <w:noWrap/>
          </w:tcPr>
          <w:p w14:paraId="60B519FC" w14:textId="0DE8F861"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11.54</w:t>
            </w:r>
          </w:p>
        </w:tc>
      </w:tr>
      <w:tr w:rsidR="008C17AC" w:rsidRPr="008C17AC" w14:paraId="39938C5F" w14:textId="77777777" w:rsidTr="1A6C9FDE">
        <w:trPr>
          <w:trHeight w:val="227"/>
        </w:trPr>
        <w:tc>
          <w:tcPr>
            <w:tcW w:w="2492" w:type="dxa"/>
            <w:vMerge w:val="restart"/>
          </w:tcPr>
          <w:p w14:paraId="016817D1" w14:textId="4BBF89F5" w:rsidR="009B4002" w:rsidRPr="008C17AC" w:rsidRDefault="009B4002" w:rsidP="009B4002">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Outcome type</w:t>
            </w:r>
          </w:p>
        </w:tc>
        <w:tc>
          <w:tcPr>
            <w:tcW w:w="5103" w:type="dxa"/>
            <w:noWrap/>
          </w:tcPr>
          <w:p w14:paraId="28857BDF" w14:textId="5D4975C3" w:rsidR="009B4002" w:rsidRPr="008C17AC" w:rsidRDefault="009B4002" w:rsidP="009B4002">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 xml:space="preserve">Reproducibility </w:t>
            </w:r>
          </w:p>
        </w:tc>
        <w:tc>
          <w:tcPr>
            <w:tcW w:w="709" w:type="dxa"/>
            <w:noWrap/>
          </w:tcPr>
          <w:p w14:paraId="23EDE11F" w14:textId="678193D3"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9</w:t>
            </w:r>
          </w:p>
        </w:tc>
        <w:tc>
          <w:tcPr>
            <w:tcW w:w="825" w:type="dxa"/>
            <w:noWrap/>
          </w:tcPr>
          <w:p w14:paraId="77E22432" w14:textId="142881AD"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8.62</w:t>
            </w:r>
          </w:p>
        </w:tc>
      </w:tr>
      <w:tr w:rsidR="008C17AC" w:rsidRPr="008C17AC" w14:paraId="28D0CB63" w14:textId="77777777" w:rsidTr="1A6C9FDE">
        <w:trPr>
          <w:trHeight w:val="227"/>
        </w:trPr>
        <w:tc>
          <w:tcPr>
            <w:tcW w:w="2492" w:type="dxa"/>
            <w:vMerge/>
          </w:tcPr>
          <w:p w14:paraId="6DD478D7" w14:textId="77777777" w:rsidR="009B4002" w:rsidRPr="008C17AC" w:rsidRDefault="009B4002" w:rsidP="009B4002">
            <w:pPr>
              <w:spacing w:line="216" w:lineRule="auto"/>
              <w:rPr>
                <w:rFonts w:ascii="Times New Roman" w:eastAsia="Times New Roman" w:hAnsi="Times New Roman" w:cs="Times New Roman"/>
                <w:lang w:eastAsia="nl-NL"/>
              </w:rPr>
            </w:pPr>
          </w:p>
        </w:tc>
        <w:tc>
          <w:tcPr>
            <w:tcW w:w="5103" w:type="dxa"/>
            <w:noWrap/>
          </w:tcPr>
          <w:p w14:paraId="0B2CCEF6" w14:textId="1637D8D1" w:rsidR="009B4002" w:rsidRPr="008C17AC" w:rsidRDefault="009B4002" w:rsidP="009B4002">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 xml:space="preserve">Replicability </w:t>
            </w:r>
          </w:p>
        </w:tc>
        <w:tc>
          <w:tcPr>
            <w:tcW w:w="709" w:type="dxa"/>
            <w:noWrap/>
          </w:tcPr>
          <w:p w14:paraId="510C7AC6" w14:textId="778587D0"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2</w:t>
            </w:r>
          </w:p>
        </w:tc>
        <w:tc>
          <w:tcPr>
            <w:tcW w:w="825" w:type="dxa"/>
            <w:noWrap/>
          </w:tcPr>
          <w:p w14:paraId="66CEDBBD" w14:textId="58B8381D"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1.92</w:t>
            </w:r>
          </w:p>
        </w:tc>
      </w:tr>
      <w:tr w:rsidR="008C17AC" w:rsidRPr="008C17AC" w14:paraId="3D8161DD" w14:textId="77777777" w:rsidTr="1A6C9FDE">
        <w:trPr>
          <w:trHeight w:val="227"/>
        </w:trPr>
        <w:tc>
          <w:tcPr>
            <w:tcW w:w="2492" w:type="dxa"/>
            <w:vMerge/>
          </w:tcPr>
          <w:p w14:paraId="0EF21279" w14:textId="3364FD67" w:rsidR="009B4002" w:rsidRPr="008C17AC" w:rsidRDefault="009B4002" w:rsidP="009B4002">
            <w:pPr>
              <w:spacing w:line="216" w:lineRule="auto"/>
              <w:rPr>
                <w:rFonts w:ascii="Times New Roman" w:eastAsia="Times New Roman" w:hAnsi="Times New Roman" w:cs="Times New Roman"/>
                <w:lang w:eastAsia="nl-NL"/>
              </w:rPr>
            </w:pPr>
          </w:p>
        </w:tc>
        <w:tc>
          <w:tcPr>
            <w:tcW w:w="5103" w:type="dxa"/>
            <w:noWrap/>
          </w:tcPr>
          <w:p w14:paraId="6C7CFC3D" w14:textId="2647EF0A" w:rsidR="009B4002" w:rsidRPr="008C17AC" w:rsidRDefault="61A22713" w:rsidP="009B4002">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Other direct outcome</w:t>
            </w:r>
            <w:r w:rsidR="2C54397C" w:rsidRPr="008C17AC">
              <w:rPr>
                <w:rFonts w:ascii="Times New Roman" w:eastAsia="Times New Roman" w:hAnsi="Times New Roman" w:cs="Times New Roman"/>
                <w:lang w:eastAsia="nl-NL"/>
              </w:rPr>
              <w:t>s</w:t>
            </w:r>
          </w:p>
        </w:tc>
        <w:tc>
          <w:tcPr>
            <w:tcW w:w="709" w:type="dxa"/>
            <w:noWrap/>
          </w:tcPr>
          <w:p w14:paraId="11E5A74D" w14:textId="1FB69711"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4</w:t>
            </w:r>
          </w:p>
        </w:tc>
        <w:tc>
          <w:tcPr>
            <w:tcW w:w="825" w:type="dxa"/>
            <w:noWrap/>
          </w:tcPr>
          <w:p w14:paraId="324FE142" w14:textId="49087755"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3.85</w:t>
            </w:r>
          </w:p>
        </w:tc>
      </w:tr>
      <w:tr w:rsidR="009B4002" w:rsidRPr="008C17AC" w14:paraId="36D896C3" w14:textId="77777777" w:rsidTr="1A6C9FDE">
        <w:trPr>
          <w:trHeight w:val="227"/>
        </w:trPr>
        <w:tc>
          <w:tcPr>
            <w:tcW w:w="2492" w:type="dxa"/>
            <w:vMerge/>
          </w:tcPr>
          <w:p w14:paraId="21DAF30A" w14:textId="7425679A" w:rsidR="009B4002" w:rsidRPr="008C17AC" w:rsidRDefault="009B4002" w:rsidP="009B4002">
            <w:pPr>
              <w:spacing w:line="216" w:lineRule="auto"/>
              <w:rPr>
                <w:rFonts w:ascii="Times New Roman" w:eastAsia="Times New Roman" w:hAnsi="Times New Roman" w:cs="Times New Roman"/>
                <w:lang w:eastAsia="nl-NL"/>
              </w:rPr>
            </w:pPr>
          </w:p>
        </w:tc>
        <w:tc>
          <w:tcPr>
            <w:tcW w:w="5103" w:type="dxa"/>
            <w:noWrap/>
          </w:tcPr>
          <w:p w14:paraId="4277FC98" w14:textId="493CA966" w:rsidR="009B4002" w:rsidRPr="008C17AC" w:rsidRDefault="009B4002" w:rsidP="009B4002">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 xml:space="preserve">Registration status </w:t>
            </w:r>
          </w:p>
        </w:tc>
        <w:tc>
          <w:tcPr>
            <w:tcW w:w="709" w:type="dxa"/>
            <w:noWrap/>
          </w:tcPr>
          <w:p w14:paraId="10222CFC" w14:textId="373B9203"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4</w:t>
            </w:r>
          </w:p>
        </w:tc>
        <w:tc>
          <w:tcPr>
            <w:tcW w:w="825" w:type="dxa"/>
            <w:noWrap/>
          </w:tcPr>
          <w:p w14:paraId="0A248A41" w14:textId="035D3C69"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3.85</w:t>
            </w:r>
          </w:p>
        </w:tc>
      </w:tr>
      <w:tr w:rsidR="009B4002" w:rsidRPr="008C17AC" w14:paraId="657BDE8E" w14:textId="77777777" w:rsidTr="1A6C9FDE">
        <w:trPr>
          <w:trHeight w:val="227"/>
        </w:trPr>
        <w:tc>
          <w:tcPr>
            <w:tcW w:w="2492" w:type="dxa"/>
            <w:vMerge/>
          </w:tcPr>
          <w:p w14:paraId="748FEE91" w14:textId="2BF47F2F" w:rsidR="009B4002" w:rsidRPr="008C17AC" w:rsidRDefault="009B4002" w:rsidP="009B4002">
            <w:pPr>
              <w:spacing w:line="216" w:lineRule="auto"/>
              <w:rPr>
                <w:rFonts w:ascii="Times New Roman" w:eastAsia="Times New Roman" w:hAnsi="Times New Roman" w:cs="Times New Roman"/>
                <w:lang w:eastAsia="nl-NL"/>
              </w:rPr>
            </w:pPr>
          </w:p>
        </w:tc>
        <w:tc>
          <w:tcPr>
            <w:tcW w:w="5103" w:type="dxa"/>
            <w:noWrap/>
          </w:tcPr>
          <w:p w14:paraId="2E1C84B1" w14:textId="2CA645DA" w:rsidR="009B4002" w:rsidRPr="008C17AC" w:rsidRDefault="009B4002" w:rsidP="009B4002">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 xml:space="preserve">Methods transparency </w:t>
            </w:r>
          </w:p>
        </w:tc>
        <w:tc>
          <w:tcPr>
            <w:tcW w:w="709" w:type="dxa"/>
            <w:noWrap/>
          </w:tcPr>
          <w:p w14:paraId="171B4994" w14:textId="01D28E9F"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35</w:t>
            </w:r>
          </w:p>
        </w:tc>
        <w:tc>
          <w:tcPr>
            <w:tcW w:w="825" w:type="dxa"/>
            <w:noWrap/>
          </w:tcPr>
          <w:p w14:paraId="0CE26CFD" w14:textId="05B615C0"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33.65</w:t>
            </w:r>
          </w:p>
        </w:tc>
      </w:tr>
      <w:tr w:rsidR="009B4002" w:rsidRPr="008C17AC" w14:paraId="1D694D79" w14:textId="77777777" w:rsidTr="1A6C9FDE">
        <w:trPr>
          <w:trHeight w:val="227"/>
        </w:trPr>
        <w:tc>
          <w:tcPr>
            <w:tcW w:w="2492" w:type="dxa"/>
            <w:vMerge/>
          </w:tcPr>
          <w:p w14:paraId="0F3B14D5" w14:textId="7089BB62" w:rsidR="009B4002" w:rsidRPr="008C17AC" w:rsidRDefault="009B4002" w:rsidP="009B4002">
            <w:pPr>
              <w:spacing w:line="216" w:lineRule="auto"/>
              <w:rPr>
                <w:rFonts w:ascii="Times New Roman" w:eastAsia="Times New Roman" w:hAnsi="Times New Roman" w:cs="Times New Roman"/>
                <w:lang w:eastAsia="nl-NL"/>
              </w:rPr>
            </w:pPr>
          </w:p>
        </w:tc>
        <w:tc>
          <w:tcPr>
            <w:tcW w:w="5103" w:type="dxa"/>
            <w:noWrap/>
          </w:tcPr>
          <w:p w14:paraId="4D80AB03" w14:textId="6356E5CB" w:rsidR="009B4002" w:rsidRPr="008C17AC" w:rsidRDefault="009B4002" w:rsidP="009B4002">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 xml:space="preserve">Research material sharing </w:t>
            </w:r>
          </w:p>
        </w:tc>
        <w:tc>
          <w:tcPr>
            <w:tcW w:w="709" w:type="dxa"/>
            <w:noWrap/>
          </w:tcPr>
          <w:p w14:paraId="5C2D815B" w14:textId="5C29C684"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34</w:t>
            </w:r>
          </w:p>
        </w:tc>
        <w:tc>
          <w:tcPr>
            <w:tcW w:w="825" w:type="dxa"/>
            <w:noWrap/>
          </w:tcPr>
          <w:p w14:paraId="58C87625" w14:textId="4BE47AB0"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32.69</w:t>
            </w:r>
          </w:p>
        </w:tc>
      </w:tr>
      <w:tr w:rsidR="008C17AC" w:rsidRPr="008C17AC" w14:paraId="06157ABB" w14:textId="77777777" w:rsidTr="1A6C9FDE">
        <w:trPr>
          <w:trHeight w:val="227"/>
        </w:trPr>
        <w:tc>
          <w:tcPr>
            <w:tcW w:w="2492" w:type="dxa"/>
            <w:vMerge/>
          </w:tcPr>
          <w:p w14:paraId="34F58D1F" w14:textId="77777777" w:rsidR="009B4002" w:rsidRPr="008C17AC" w:rsidRDefault="009B4002" w:rsidP="009B4002">
            <w:pPr>
              <w:spacing w:line="216" w:lineRule="auto"/>
              <w:rPr>
                <w:rFonts w:ascii="Times New Roman" w:eastAsia="Times New Roman" w:hAnsi="Times New Roman" w:cs="Times New Roman"/>
                <w:lang w:eastAsia="nl-NL"/>
              </w:rPr>
            </w:pPr>
          </w:p>
        </w:tc>
        <w:tc>
          <w:tcPr>
            <w:tcW w:w="5103" w:type="dxa"/>
            <w:noWrap/>
          </w:tcPr>
          <w:p w14:paraId="4B33A2E5" w14:textId="45AFCD0E" w:rsidR="009B4002" w:rsidRPr="008C17AC" w:rsidRDefault="009B4002" w:rsidP="009B4002">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Other</w:t>
            </w:r>
          </w:p>
        </w:tc>
        <w:tc>
          <w:tcPr>
            <w:tcW w:w="709" w:type="dxa"/>
            <w:noWrap/>
          </w:tcPr>
          <w:p w14:paraId="16FD13B8" w14:textId="74CB3BA7"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16</w:t>
            </w:r>
          </w:p>
        </w:tc>
        <w:tc>
          <w:tcPr>
            <w:tcW w:w="825" w:type="dxa"/>
            <w:noWrap/>
          </w:tcPr>
          <w:p w14:paraId="05EA3C3C" w14:textId="32FC1DA0"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15.38</w:t>
            </w:r>
          </w:p>
        </w:tc>
      </w:tr>
      <w:tr w:rsidR="008C17AC" w:rsidRPr="008C17AC" w14:paraId="3DF58F80" w14:textId="77777777" w:rsidTr="1A6C9FDE">
        <w:trPr>
          <w:trHeight w:val="227"/>
        </w:trPr>
        <w:tc>
          <w:tcPr>
            <w:tcW w:w="2492" w:type="dxa"/>
            <w:vMerge w:val="restart"/>
          </w:tcPr>
          <w:p w14:paraId="69E49E56" w14:textId="38196A94" w:rsidR="009B4002" w:rsidRPr="008C17AC" w:rsidRDefault="009B4002" w:rsidP="009B4002">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Author’s conclusion</w:t>
            </w:r>
          </w:p>
        </w:tc>
        <w:tc>
          <w:tcPr>
            <w:tcW w:w="5103" w:type="dxa"/>
            <w:noWrap/>
            <w:hideMark/>
          </w:tcPr>
          <w:p w14:paraId="397EC83A" w14:textId="77777777" w:rsidR="009B4002" w:rsidRPr="008C17AC" w:rsidRDefault="009B4002" w:rsidP="009B4002">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Generally positive</w:t>
            </w:r>
          </w:p>
        </w:tc>
        <w:tc>
          <w:tcPr>
            <w:tcW w:w="709" w:type="dxa"/>
            <w:noWrap/>
            <w:hideMark/>
          </w:tcPr>
          <w:p w14:paraId="4FD42A38" w14:textId="6D176CAC"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60</w:t>
            </w:r>
          </w:p>
        </w:tc>
        <w:tc>
          <w:tcPr>
            <w:tcW w:w="825" w:type="dxa"/>
            <w:noWrap/>
            <w:hideMark/>
          </w:tcPr>
          <w:p w14:paraId="19647552" w14:textId="03C7A207"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57.69</w:t>
            </w:r>
          </w:p>
        </w:tc>
      </w:tr>
      <w:tr w:rsidR="008C17AC" w:rsidRPr="008C17AC" w14:paraId="3A8F3F15" w14:textId="77777777" w:rsidTr="1A6C9FDE">
        <w:trPr>
          <w:trHeight w:val="227"/>
        </w:trPr>
        <w:tc>
          <w:tcPr>
            <w:tcW w:w="2492" w:type="dxa"/>
            <w:vMerge/>
          </w:tcPr>
          <w:p w14:paraId="388BF255" w14:textId="1E9C0BEA" w:rsidR="009B4002" w:rsidRPr="008C17AC" w:rsidRDefault="009B4002" w:rsidP="009B4002">
            <w:pPr>
              <w:spacing w:line="216" w:lineRule="auto"/>
              <w:rPr>
                <w:rFonts w:ascii="Times New Roman" w:eastAsia="Times New Roman" w:hAnsi="Times New Roman" w:cs="Times New Roman"/>
                <w:lang w:eastAsia="nl-NL"/>
              </w:rPr>
            </w:pPr>
          </w:p>
        </w:tc>
        <w:tc>
          <w:tcPr>
            <w:tcW w:w="5103" w:type="dxa"/>
            <w:noWrap/>
            <w:hideMark/>
          </w:tcPr>
          <w:p w14:paraId="108EEAA2" w14:textId="58C633C3" w:rsidR="009B4002" w:rsidRPr="008C17AC" w:rsidRDefault="009B4002" w:rsidP="009B4002">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Null / neutral</w:t>
            </w:r>
          </w:p>
        </w:tc>
        <w:tc>
          <w:tcPr>
            <w:tcW w:w="709" w:type="dxa"/>
            <w:noWrap/>
            <w:hideMark/>
          </w:tcPr>
          <w:p w14:paraId="55CC071E" w14:textId="77777777"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43</w:t>
            </w:r>
          </w:p>
        </w:tc>
        <w:tc>
          <w:tcPr>
            <w:tcW w:w="825" w:type="dxa"/>
            <w:noWrap/>
            <w:hideMark/>
          </w:tcPr>
          <w:p w14:paraId="0F39E191" w14:textId="187F002C"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41.35</w:t>
            </w:r>
          </w:p>
        </w:tc>
      </w:tr>
      <w:tr w:rsidR="008C17AC" w:rsidRPr="008C17AC" w14:paraId="0D1302B2" w14:textId="77777777" w:rsidTr="1A6C9FDE">
        <w:trPr>
          <w:trHeight w:val="227"/>
        </w:trPr>
        <w:tc>
          <w:tcPr>
            <w:tcW w:w="2492" w:type="dxa"/>
            <w:vMerge/>
          </w:tcPr>
          <w:p w14:paraId="3780D1CB" w14:textId="44C75C80" w:rsidR="009B4002" w:rsidRPr="008C17AC" w:rsidRDefault="009B4002" w:rsidP="009B4002">
            <w:pPr>
              <w:spacing w:line="216" w:lineRule="auto"/>
              <w:rPr>
                <w:rFonts w:ascii="Times New Roman" w:eastAsia="Times New Roman" w:hAnsi="Times New Roman" w:cs="Times New Roman"/>
                <w:lang w:eastAsia="nl-NL"/>
              </w:rPr>
            </w:pPr>
          </w:p>
        </w:tc>
        <w:tc>
          <w:tcPr>
            <w:tcW w:w="5103" w:type="dxa"/>
            <w:noWrap/>
            <w:hideMark/>
          </w:tcPr>
          <w:p w14:paraId="2473E671" w14:textId="77777777" w:rsidR="009B4002" w:rsidRPr="008C17AC" w:rsidRDefault="009B4002" w:rsidP="009B4002">
            <w:pPr>
              <w:spacing w:line="216"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Generally negative</w:t>
            </w:r>
          </w:p>
        </w:tc>
        <w:tc>
          <w:tcPr>
            <w:tcW w:w="709" w:type="dxa"/>
            <w:noWrap/>
            <w:hideMark/>
          </w:tcPr>
          <w:p w14:paraId="0D5C406A" w14:textId="77777777"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w:t>
            </w:r>
          </w:p>
        </w:tc>
        <w:tc>
          <w:tcPr>
            <w:tcW w:w="825" w:type="dxa"/>
            <w:noWrap/>
            <w:hideMark/>
          </w:tcPr>
          <w:p w14:paraId="271FE14D" w14:textId="155ED6B7" w:rsidR="009B4002" w:rsidRPr="008C17AC" w:rsidRDefault="009B4002" w:rsidP="009B4002">
            <w:pPr>
              <w:spacing w:line="216"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0.96</w:t>
            </w:r>
          </w:p>
        </w:tc>
      </w:tr>
    </w:tbl>
    <w:p w14:paraId="3D63F90D" w14:textId="77777777" w:rsidR="00784461" w:rsidRPr="008C17AC" w:rsidRDefault="00784461" w:rsidP="00784461">
      <w:pPr>
        <w:spacing w:after="120" w:line="360" w:lineRule="auto"/>
        <w:ind w:left="-20" w:right="-20"/>
        <w:rPr>
          <w:rFonts w:ascii="Times New Roman" w:eastAsia="Times New Roman" w:hAnsi="Times New Roman" w:cs="Times New Roman"/>
          <w:sz w:val="24"/>
          <w:szCs w:val="24"/>
          <w:highlight w:val="yellow"/>
        </w:rPr>
      </w:pPr>
    </w:p>
    <w:p w14:paraId="6F05C841" w14:textId="77777777" w:rsidR="00784461" w:rsidRPr="008C17AC" w:rsidRDefault="00784461">
      <w:pPr>
        <w:rPr>
          <w:rFonts w:ascii="Times New Roman" w:eastAsia="Times New Roman" w:hAnsi="Times New Roman" w:cs="Times New Roman"/>
          <w:b/>
          <w:bCs/>
          <w:i/>
          <w:iCs/>
          <w:sz w:val="24"/>
          <w:szCs w:val="24"/>
        </w:rPr>
      </w:pPr>
      <w:r w:rsidRPr="008C17AC">
        <w:rPr>
          <w:rFonts w:ascii="Times New Roman" w:eastAsia="Times New Roman" w:hAnsi="Times New Roman" w:cs="Times New Roman"/>
          <w:b/>
          <w:bCs/>
          <w:i/>
          <w:iCs/>
          <w:sz w:val="24"/>
          <w:szCs w:val="24"/>
        </w:rPr>
        <w:br w:type="page"/>
      </w:r>
    </w:p>
    <w:p w14:paraId="521BE291" w14:textId="0FA60475" w:rsidR="3242B88F" w:rsidRPr="008C17AC" w:rsidRDefault="09A27337" w:rsidP="7529D9A3">
      <w:pPr>
        <w:spacing w:after="120" w:line="360" w:lineRule="auto"/>
        <w:ind w:left="-20" w:right="-20"/>
        <w:rPr>
          <w:rFonts w:ascii="Times New Roman" w:eastAsia="Times New Roman" w:hAnsi="Times New Roman" w:cs="Times New Roman"/>
          <w:b/>
          <w:bCs/>
          <w:i/>
          <w:iCs/>
        </w:rPr>
      </w:pPr>
      <w:r w:rsidRPr="008C17AC">
        <w:rPr>
          <w:rFonts w:ascii="Times New Roman" w:eastAsia="Times New Roman" w:hAnsi="Times New Roman" w:cs="Times New Roman"/>
          <w:b/>
          <w:bCs/>
          <w:i/>
          <w:iCs/>
        </w:rPr>
        <w:lastRenderedPageBreak/>
        <w:t>Interventions</w:t>
      </w:r>
    </w:p>
    <w:p w14:paraId="14137913" w14:textId="16EA86B7" w:rsidR="48FC8A1A" w:rsidRPr="008C17AC" w:rsidRDefault="51EB6E2E" w:rsidP="1A6C9FDE">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rPr>
        <w:t>The g</w:t>
      </w:r>
      <w:r w:rsidR="57D0C7A8" w:rsidRPr="008C17AC">
        <w:rPr>
          <w:rFonts w:ascii="Times New Roman" w:eastAsia="Times New Roman" w:hAnsi="Times New Roman" w:cs="Times New Roman"/>
        </w:rPr>
        <w:t>rouping</w:t>
      </w:r>
      <w:r w:rsidR="356B6BD2" w:rsidRPr="008C17AC">
        <w:rPr>
          <w:rFonts w:ascii="Times New Roman" w:eastAsia="Times New Roman" w:hAnsi="Times New Roman" w:cs="Times New Roman"/>
        </w:rPr>
        <w:t xml:space="preserve"> of</w:t>
      </w:r>
      <w:r w:rsidR="57D0C7A8" w:rsidRPr="008C17AC">
        <w:rPr>
          <w:rFonts w:ascii="Times New Roman" w:eastAsia="Times New Roman" w:hAnsi="Times New Roman" w:cs="Times New Roman"/>
        </w:rPr>
        <w:t xml:space="preserve"> interventions was difficult due to nuanced differences in </w:t>
      </w:r>
      <w:r w:rsidR="6EA66371" w:rsidRPr="008C17AC">
        <w:rPr>
          <w:rFonts w:ascii="Times New Roman" w:eastAsia="Times New Roman" w:hAnsi="Times New Roman" w:cs="Times New Roman"/>
        </w:rPr>
        <w:t xml:space="preserve">apparently </w:t>
      </w:r>
      <w:r w:rsidR="57D0C7A8" w:rsidRPr="008C17AC">
        <w:rPr>
          <w:rFonts w:ascii="Times New Roman" w:eastAsia="Times New Roman" w:hAnsi="Times New Roman" w:cs="Times New Roman"/>
        </w:rPr>
        <w:t>similar topics</w:t>
      </w:r>
      <w:r w:rsidR="49DD3606" w:rsidRPr="008C17AC">
        <w:rPr>
          <w:rFonts w:ascii="Times New Roman" w:eastAsia="Times New Roman" w:hAnsi="Times New Roman" w:cs="Times New Roman"/>
        </w:rPr>
        <w:t xml:space="preserve">. For example, </w:t>
      </w:r>
      <w:r w:rsidR="727519D6" w:rsidRPr="008C17AC">
        <w:rPr>
          <w:rFonts w:ascii="Times New Roman" w:eastAsia="Times New Roman" w:hAnsi="Times New Roman" w:cs="Times New Roman"/>
        </w:rPr>
        <w:t>some</w:t>
      </w:r>
      <w:r w:rsidR="7C8D7CBF" w:rsidRPr="008C17AC">
        <w:rPr>
          <w:rFonts w:ascii="Times New Roman" w:eastAsia="Times New Roman" w:hAnsi="Times New Roman" w:cs="Times New Roman"/>
        </w:rPr>
        <w:t xml:space="preserve"> studies examining reporting guidelines</w:t>
      </w:r>
      <w:r w:rsidR="034083AE" w:rsidRPr="008C17AC">
        <w:rPr>
          <w:rFonts w:ascii="Times New Roman" w:eastAsia="Times New Roman" w:hAnsi="Times New Roman" w:cs="Times New Roman"/>
        </w:rPr>
        <w:t xml:space="preserve"> </w:t>
      </w:r>
      <w:r w:rsidR="1821CBCB" w:rsidRPr="008C17AC">
        <w:rPr>
          <w:rFonts w:ascii="Times New Roman" w:eastAsia="Times New Roman" w:hAnsi="Times New Roman" w:cs="Times New Roman"/>
        </w:rPr>
        <w:t xml:space="preserve">investigated whether these </w:t>
      </w:r>
      <w:r w:rsidR="7C8D7CBF" w:rsidRPr="008C17AC">
        <w:rPr>
          <w:rFonts w:ascii="Times New Roman" w:eastAsia="Times New Roman" w:hAnsi="Times New Roman" w:cs="Times New Roman"/>
        </w:rPr>
        <w:t>guidelines</w:t>
      </w:r>
      <w:r w:rsidR="5194B78C" w:rsidRPr="008C17AC">
        <w:rPr>
          <w:rFonts w:ascii="Times New Roman" w:eastAsia="Times New Roman" w:hAnsi="Times New Roman" w:cs="Times New Roman"/>
        </w:rPr>
        <w:t xml:space="preserve"> were </w:t>
      </w:r>
      <w:r w:rsidR="5A05BA9B" w:rsidRPr="008C17AC">
        <w:rPr>
          <w:rFonts w:ascii="Times New Roman" w:eastAsia="Times New Roman" w:hAnsi="Times New Roman" w:cs="Times New Roman"/>
        </w:rPr>
        <w:t>mentioned in the author guidelines</w:t>
      </w:r>
      <w:r w:rsidR="57BDF616" w:rsidRPr="008C17AC">
        <w:rPr>
          <w:rFonts w:ascii="Times New Roman" w:eastAsia="Times New Roman" w:hAnsi="Times New Roman" w:cs="Times New Roman"/>
        </w:rPr>
        <w:t>,</w:t>
      </w:r>
      <w:r w:rsidR="7C8D7CBF" w:rsidRPr="008C17AC">
        <w:rPr>
          <w:rFonts w:ascii="Times New Roman" w:eastAsia="Times New Roman" w:hAnsi="Times New Roman" w:cs="Times New Roman"/>
        </w:rPr>
        <w:t xml:space="preserve"> while others examined </w:t>
      </w:r>
      <w:r w:rsidR="68733999" w:rsidRPr="008C17AC">
        <w:rPr>
          <w:rFonts w:ascii="Times New Roman" w:eastAsia="Times New Roman" w:hAnsi="Times New Roman" w:cs="Times New Roman"/>
        </w:rPr>
        <w:t>whether</w:t>
      </w:r>
      <w:r w:rsidR="7C8D7CBF" w:rsidRPr="008C17AC">
        <w:rPr>
          <w:rFonts w:ascii="Times New Roman" w:eastAsia="Times New Roman" w:hAnsi="Times New Roman" w:cs="Times New Roman"/>
        </w:rPr>
        <w:t xml:space="preserve"> journal</w:t>
      </w:r>
      <w:r w:rsidR="2E094C34" w:rsidRPr="008C17AC">
        <w:rPr>
          <w:rFonts w:ascii="Times New Roman" w:eastAsia="Times New Roman" w:hAnsi="Times New Roman" w:cs="Times New Roman"/>
        </w:rPr>
        <w:t>s actively requested completed checklists</w:t>
      </w:r>
      <w:r w:rsidR="7C8D7CBF" w:rsidRPr="008C17AC">
        <w:rPr>
          <w:rFonts w:ascii="Times New Roman" w:eastAsia="Times New Roman" w:hAnsi="Times New Roman" w:cs="Times New Roman"/>
        </w:rPr>
        <w:t>.</w:t>
      </w:r>
      <w:r w:rsidR="58650C14" w:rsidRPr="008C17AC">
        <w:rPr>
          <w:rFonts w:ascii="Times New Roman" w:eastAsia="Times New Roman" w:hAnsi="Times New Roman" w:cs="Times New Roman"/>
        </w:rPr>
        <w:t xml:space="preserve"> Similarly, data sharing studies could focus on data sharing statements or actual data availability</w:t>
      </w:r>
      <w:r w:rsidR="60D24B88" w:rsidRPr="008C17AC">
        <w:rPr>
          <w:rFonts w:ascii="Times New Roman" w:eastAsia="Times New Roman" w:hAnsi="Times New Roman" w:cs="Times New Roman"/>
        </w:rPr>
        <w:t xml:space="preserve"> in a repository</w:t>
      </w:r>
      <w:r w:rsidR="58650C14" w:rsidRPr="008C17AC">
        <w:rPr>
          <w:rFonts w:ascii="Times New Roman" w:eastAsia="Times New Roman" w:hAnsi="Times New Roman" w:cs="Times New Roman"/>
        </w:rPr>
        <w:t>.</w:t>
      </w:r>
      <w:r w:rsidR="49DD3606" w:rsidRPr="008C17AC">
        <w:rPr>
          <w:rFonts w:ascii="Times New Roman" w:eastAsia="Times New Roman" w:hAnsi="Times New Roman" w:cs="Times New Roman"/>
        </w:rPr>
        <w:t xml:space="preserve"> </w:t>
      </w:r>
    </w:p>
    <w:p w14:paraId="0EE99881" w14:textId="2EF6EB17" w:rsidR="48FC8A1A" w:rsidRPr="008C17AC" w:rsidRDefault="6C8A8B82" w:rsidP="23EF21E2">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rPr>
        <w:t>Some interventions could be seen</w:t>
      </w:r>
      <w:r w:rsidR="3F0B75E3" w:rsidRPr="008C17AC">
        <w:rPr>
          <w:rFonts w:ascii="Times New Roman" w:eastAsia="Times New Roman" w:hAnsi="Times New Roman" w:cs="Times New Roman"/>
        </w:rPr>
        <w:t xml:space="preserve"> </w:t>
      </w:r>
      <w:r w:rsidR="6D7D1E35" w:rsidRPr="008C17AC">
        <w:rPr>
          <w:rFonts w:ascii="Times New Roman" w:eastAsia="Times New Roman" w:hAnsi="Times New Roman" w:cs="Times New Roman"/>
        </w:rPr>
        <w:t>as an</w:t>
      </w:r>
      <w:r w:rsidRPr="008C17AC">
        <w:rPr>
          <w:rFonts w:ascii="Times New Roman" w:eastAsia="Times New Roman" w:hAnsi="Times New Roman" w:cs="Times New Roman"/>
        </w:rPr>
        <w:t xml:space="preserve"> exposure instead. For example, a board of editors issuing a statement about data sharing</w:t>
      </w:r>
      <w:r w:rsidR="2CFA2879" w:rsidRPr="008C17AC">
        <w:rPr>
          <w:rFonts w:ascii="Times New Roman" w:eastAsia="Times New Roman" w:hAnsi="Times New Roman" w:cs="Times New Roman"/>
        </w:rPr>
        <w:t xml:space="preserve"> does not </w:t>
      </w:r>
      <w:r w:rsidR="176F0158" w:rsidRPr="008C17AC">
        <w:rPr>
          <w:rFonts w:ascii="Times New Roman" w:eastAsia="Times New Roman" w:hAnsi="Times New Roman" w:cs="Times New Roman"/>
        </w:rPr>
        <w:t>directly</w:t>
      </w:r>
      <w:r w:rsidR="2CFA2879" w:rsidRPr="008C17AC">
        <w:rPr>
          <w:rFonts w:ascii="Times New Roman" w:eastAsia="Times New Roman" w:hAnsi="Times New Roman" w:cs="Times New Roman"/>
        </w:rPr>
        <w:t xml:space="preserve"> intervene in the research process</w:t>
      </w:r>
      <w:r w:rsidR="7D29133F" w:rsidRPr="008C17AC">
        <w:rPr>
          <w:rFonts w:ascii="Times New Roman" w:eastAsia="Times New Roman" w:hAnsi="Times New Roman" w:cs="Times New Roman"/>
        </w:rPr>
        <w:t xml:space="preserve"> but can still influence </w:t>
      </w:r>
      <w:r w:rsidR="00D05431" w:rsidRPr="008C17AC">
        <w:rPr>
          <w:rFonts w:ascii="Times New Roman" w:eastAsia="Times New Roman" w:hAnsi="Times New Roman" w:cs="Times New Roman"/>
        </w:rPr>
        <w:t>behaviour</w:t>
      </w:r>
      <w:r w:rsidR="2CFA2879" w:rsidRPr="008C17AC">
        <w:rPr>
          <w:rFonts w:ascii="Times New Roman" w:eastAsia="Times New Roman" w:hAnsi="Times New Roman" w:cs="Times New Roman"/>
        </w:rPr>
        <w:t xml:space="preserve">. </w:t>
      </w:r>
      <w:r w:rsidR="68D18BD7" w:rsidRPr="008C17AC">
        <w:rPr>
          <w:rFonts w:ascii="Times New Roman" w:eastAsia="Times New Roman" w:hAnsi="Times New Roman" w:cs="Times New Roman"/>
        </w:rPr>
        <w:t>This type of “exposure” could have</w:t>
      </w:r>
      <w:r w:rsidR="2CFA2879" w:rsidRPr="008C17AC">
        <w:rPr>
          <w:rFonts w:ascii="Times New Roman" w:eastAsia="Times New Roman" w:hAnsi="Times New Roman" w:cs="Times New Roman"/>
        </w:rPr>
        <w:t xml:space="preserve"> – in principle – been subjected to randomized evaluations (e.g. </w:t>
      </w:r>
      <w:r w:rsidR="2F18FF09" w:rsidRPr="008C17AC">
        <w:rPr>
          <w:rFonts w:ascii="Times New Roman" w:eastAsia="Times New Roman" w:hAnsi="Times New Roman" w:cs="Times New Roman"/>
        </w:rPr>
        <w:t xml:space="preserve">journals randomly </w:t>
      </w:r>
      <w:r w:rsidR="7EEB6B36" w:rsidRPr="008C17AC">
        <w:rPr>
          <w:rFonts w:ascii="Times New Roman" w:eastAsia="Times New Roman" w:hAnsi="Times New Roman" w:cs="Times New Roman"/>
        </w:rPr>
        <w:t>adopting a policy</w:t>
      </w:r>
      <w:r w:rsidR="2F18FF09" w:rsidRPr="008C17AC">
        <w:rPr>
          <w:rFonts w:ascii="Times New Roman" w:eastAsia="Times New Roman" w:hAnsi="Times New Roman" w:cs="Times New Roman"/>
        </w:rPr>
        <w:t xml:space="preserve"> or not)</w:t>
      </w:r>
      <w:r w:rsidR="2CFA2879" w:rsidRPr="008C17AC">
        <w:rPr>
          <w:rFonts w:ascii="Times New Roman" w:eastAsia="Times New Roman" w:hAnsi="Times New Roman" w:cs="Times New Roman"/>
        </w:rPr>
        <w:t>.</w:t>
      </w:r>
      <w:r w:rsidR="0E2A33C9" w:rsidRPr="008C17AC">
        <w:rPr>
          <w:rFonts w:ascii="Times New Roman" w:eastAsia="Times New Roman" w:hAnsi="Times New Roman" w:cs="Times New Roman"/>
        </w:rPr>
        <w:t xml:space="preserve"> </w:t>
      </w:r>
      <w:r w:rsidR="5E0AADF9" w:rsidRPr="008C17AC">
        <w:rPr>
          <w:rFonts w:ascii="Times New Roman" w:eastAsia="Times New Roman" w:hAnsi="Times New Roman" w:cs="Times New Roman"/>
        </w:rPr>
        <w:t xml:space="preserve">Other interventions in our list, such as retractions or </w:t>
      </w:r>
      <w:r w:rsidR="5D14ED43" w:rsidRPr="008C17AC">
        <w:rPr>
          <w:rFonts w:ascii="Times New Roman" w:eastAsia="Times New Roman" w:hAnsi="Times New Roman" w:cs="Times New Roman"/>
        </w:rPr>
        <w:t>published guidelines cannot be randomized</w:t>
      </w:r>
      <w:r w:rsidR="225FFCE3" w:rsidRPr="008C17AC">
        <w:rPr>
          <w:rFonts w:ascii="Times New Roman" w:eastAsia="Times New Roman" w:hAnsi="Times New Roman" w:cs="Times New Roman"/>
        </w:rPr>
        <w:t xml:space="preserve">. </w:t>
      </w:r>
      <w:r w:rsidR="10BF59FF" w:rsidRPr="008C17AC">
        <w:rPr>
          <w:rFonts w:ascii="Times New Roman" w:eastAsia="Times New Roman" w:hAnsi="Times New Roman" w:cs="Times New Roman"/>
        </w:rPr>
        <w:t>F</w:t>
      </w:r>
      <w:r w:rsidR="4AE2C805" w:rsidRPr="008C17AC">
        <w:rPr>
          <w:rFonts w:ascii="Times New Roman" w:eastAsia="Times New Roman" w:hAnsi="Times New Roman" w:cs="Times New Roman"/>
        </w:rPr>
        <w:t>or the pu</w:t>
      </w:r>
      <w:r w:rsidR="00976DB9" w:rsidRPr="008C17AC">
        <w:rPr>
          <w:rFonts w:ascii="Times New Roman" w:eastAsia="Times New Roman" w:hAnsi="Times New Roman" w:cs="Times New Roman"/>
        </w:rPr>
        <w:t>r</w:t>
      </w:r>
      <w:r w:rsidR="4AE2C805" w:rsidRPr="008C17AC">
        <w:rPr>
          <w:rFonts w:ascii="Times New Roman" w:eastAsia="Times New Roman" w:hAnsi="Times New Roman" w:cs="Times New Roman"/>
        </w:rPr>
        <w:t xml:space="preserve">pose of this </w:t>
      </w:r>
      <w:r w:rsidR="7B2A19B4" w:rsidRPr="008C17AC">
        <w:rPr>
          <w:rFonts w:ascii="Times New Roman" w:eastAsia="Times New Roman" w:hAnsi="Times New Roman" w:cs="Times New Roman"/>
        </w:rPr>
        <w:t xml:space="preserve">scoping </w:t>
      </w:r>
      <w:r w:rsidR="4AE2C805" w:rsidRPr="008C17AC">
        <w:rPr>
          <w:rFonts w:ascii="Times New Roman" w:eastAsia="Times New Roman" w:hAnsi="Times New Roman" w:cs="Times New Roman"/>
        </w:rPr>
        <w:t>review</w:t>
      </w:r>
      <w:r w:rsidR="051CE43B" w:rsidRPr="008C17AC">
        <w:rPr>
          <w:rFonts w:ascii="Times New Roman" w:eastAsia="Times New Roman" w:hAnsi="Times New Roman" w:cs="Times New Roman"/>
        </w:rPr>
        <w:t>,</w:t>
      </w:r>
      <w:r w:rsidR="4AE2C805" w:rsidRPr="008C17AC">
        <w:rPr>
          <w:rFonts w:ascii="Times New Roman" w:eastAsia="Times New Roman" w:hAnsi="Times New Roman" w:cs="Times New Roman"/>
        </w:rPr>
        <w:t xml:space="preserve"> </w:t>
      </w:r>
      <w:r w:rsidR="0E2A33C9" w:rsidRPr="008C17AC">
        <w:rPr>
          <w:rFonts w:ascii="Times New Roman" w:eastAsia="Times New Roman" w:hAnsi="Times New Roman" w:cs="Times New Roman"/>
        </w:rPr>
        <w:t xml:space="preserve">we </w:t>
      </w:r>
      <w:r w:rsidR="013C905E" w:rsidRPr="008C17AC">
        <w:rPr>
          <w:rFonts w:ascii="Times New Roman" w:eastAsia="Times New Roman" w:hAnsi="Times New Roman" w:cs="Times New Roman"/>
        </w:rPr>
        <w:t xml:space="preserve">considered </w:t>
      </w:r>
      <w:r w:rsidR="19C2417A" w:rsidRPr="008C17AC">
        <w:rPr>
          <w:rFonts w:ascii="Times New Roman" w:eastAsia="Times New Roman" w:hAnsi="Times New Roman" w:cs="Times New Roman"/>
        </w:rPr>
        <w:t xml:space="preserve">all </w:t>
      </w:r>
      <w:r w:rsidR="39AA225F" w:rsidRPr="008C17AC">
        <w:rPr>
          <w:rFonts w:ascii="Times New Roman" w:eastAsia="Times New Roman" w:hAnsi="Times New Roman" w:cs="Times New Roman"/>
        </w:rPr>
        <w:t>th</w:t>
      </w:r>
      <w:r w:rsidR="5AF2914D" w:rsidRPr="008C17AC">
        <w:rPr>
          <w:rFonts w:ascii="Times New Roman" w:eastAsia="Times New Roman" w:hAnsi="Times New Roman" w:cs="Times New Roman"/>
        </w:rPr>
        <w:t xml:space="preserve">ese </w:t>
      </w:r>
      <w:r w:rsidR="5615A385" w:rsidRPr="008C17AC">
        <w:rPr>
          <w:rFonts w:ascii="Times New Roman" w:eastAsia="Times New Roman" w:hAnsi="Times New Roman" w:cs="Times New Roman"/>
        </w:rPr>
        <w:t xml:space="preserve">factors </w:t>
      </w:r>
      <w:r w:rsidR="0E2A33C9" w:rsidRPr="008C17AC">
        <w:rPr>
          <w:rFonts w:ascii="Times New Roman" w:eastAsia="Times New Roman" w:hAnsi="Times New Roman" w:cs="Times New Roman"/>
        </w:rPr>
        <w:t>‘intervention</w:t>
      </w:r>
      <w:r w:rsidR="6A217830" w:rsidRPr="008C17AC">
        <w:rPr>
          <w:rFonts w:ascii="Times New Roman" w:eastAsia="Times New Roman" w:hAnsi="Times New Roman" w:cs="Times New Roman"/>
        </w:rPr>
        <w:t>s</w:t>
      </w:r>
      <w:r w:rsidR="0E2A33C9" w:rsidRPr="008C17AC">
        <w:rPr>
          <w:rFonts w:ascii="Times New Roman" w:eastAsia="Times New Roman" w:hAnsi="Times New Roman" w:cs="Times New Roman"/>
        </w:rPr>
        <w:t xml:space="preserve">'. </w:t>
      </w:r>
      <w:r w:rsidR="1C02965D" w:rsidRPr="008C17AC">
        <w:rPr>
          <w:rFonts w:ascii="Times New Roman" w:eastAsia="Times New Roman" w:hAnsi="Times New Roman" w:cs="Times New Roman"/>
        </w:rPr>
        <w:t>We grouped the interventions as explained below</w:t>
      </w:r>
      <w:r w:rsidR="59A60491" w:rsidRPr="008C17AC">
        <w:rPr>
          <w:rFonts w:ascii="Times New Roman" w:eastAsia="Times New Roman" w:hAnsi="Times New Roman" w:cs="Times New Roman"/>
        </w:rPr>
        <w:t xml:space="preserve"> (</w:t>
      </w:r>
      <w:r w:rsidR="1023A195" w:rsidRPr="008C17AC">
        <w:rPr>
          <w:rFonts w:ascii="Times New Roman" w:eastAsia="Times New Roman" w:hAnsi="Times New Roman" w:cs="Times New Roman"/>
        </w:rPr>
        <w:t>Table 2)</w:t>
      </w:r>
      <w:r w:rsidR="057E5218" w:rsidRPr="008C17AC">
        <w:rPr>
          <w:rFonts w:ascii="Times New Roman" w:eastAsia="Times New Roman" w:hAnsi="Times New Roman" w:cs="Times New Roman"/>
        </w:rPr>
        <w:t>.</w:t>
      </w:r>
    </w:p>
    <w:p w14:paraId="27FAF738" w14:textId="19094664" w:rsidR="48FC8A1A" w:rsidRPr="008C17AC" w:rsidRDefault="6E12D34F" w:rsidP="1A6C9FDE">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u w:val="single"/>
        </w:rPr>
        <w:t>Open methodology (n=10):</w:t>
      </w:r>
      <w:r w:rsidRPr="008C17AC">
        <w:rPr>
          <w:rFonts w:ascii="Times New Roman" w:eastAsia="Times New Roman" w:hAnsi="Times New Roman" w:cs="Times New Roman"/>
        </w:rPr>
        <w:t xml:space="preserve"> </w:t>
      </w:r>
      <w:r w:rsidR="4AE428EA" w:rsidRPr="008C17AC">
        <w:rPr>
          <w:rFonts w:ascii="Times New Roman" w:eastAsia="Times New Roman" w:hAnsi="Times New Roman" w:cs="Times New Roman"/>
        </w:rPr>
        <w:t xml:space="preserve">Eight studies investigating some sort of preregistration of research plans. </w:t>
      </w:r>
      <w:r w:rsidR="48335D07" w:rsidRPr="008C17AC">
        <w:rPr>
          <w:rFonts w:ascii="Times New Roman" w:eastAsia="Times New Roman" w:hAnsi="Times New Roman" w:cs="Times New Roman"/>
        </w:rPr>
        <w:t>Five</w:t>
      </w:r>
      <w:r w:rsidRPr="008C17AC">
        <w:rPr>
          <w:rFonts w:ascii="Times New Roman" w:eastAsia="Times New Roman" w:hAnsi="Times New Roman" w:cs="Times New Roman"/>
        </w:rPr>
        <w:t xml:space="preserve"> studies investigated the effect of preregistration [</w:t>
      </w:r>
      <w:r w:rsidR="008B286D" w:rsidRPr="008C17AC">
        <w:rPr>
          <w:rFonts w:ascii="Times New Roman" w:eastAsia="Times New Roman" w:hAnsi="Times New Roman" w:cs="Times New Roman"/>
        </w:rPr>
        <w:t>117</w:t>
      </w:r>
      <w:r w:rsidR="008B286D" w:rsidRPr="008C17AC">
        <w:rPr>
          <w:rFonts w:ascii="Times New Roman" w:eastAsia="Times New Roman" w:hAnsi="Times New Roman" w:cs="Times New Roman"/>
        </w:rPr>
        <w:t>, 127 with</w:t>
      </w:r>
      <w:r w:rsidR="77150D6D" w:rsidRPr="008C17AC">
        <w:rPr>
          <w:rFonts w:ascii="Times New Roman" w:eastAsia="Times New Roman" w:hAnsi="Times New Roman" w:cs="Times New Roman"/>
        </w:rPr>
        <w:t xml:space="preserve"> 3 studies, </w:t>
      </w:r>
      <w:r w:rsidR="008B286D" w:rsidRPr="008C17AC">
        <w:rPr>
          <w:rFonts w:ascii="Times New Roman" w:eastAsia="Times New Roman" w:hAnsi="Times New Roman" w:cs="Times New Roman"/>
        </w:rPr>
        <w:t>129</w:t>
      </w:r>
      <w:r w:rsidR="77150D6D" w:rsidRPr="008C17AC">
        <w:rPr>
          <w:rFonts w:ascii="Times New Roman" w:eastAsia="Times New Roman" w:hAnsi="Times New Roman" w:cs="Times New Roman"/>
        </w:rPr>
        <w:t xml:space="preserve">], </w:t>
      </w:r>
      <w:r w:rsidR="0B75531E" w:rsidRPr="008C17AC">
        <w:rPr>
          <w:rFonts w:ascii="Times New Roman" w:eastAsia="Times New Roman" w:hAnsi="Times New Roman" w:cs="Times New Roman"/>
        </w:rPr>
        <w:t xml:space="preserve">one the effect of </w:t>
      </w:r>
      <w:r w:rsidR="77150D6D" w:rsidRPr="008C17AC">
        <w:rPr>
          <w:rFonts w:ascii="Times New Roman" w:eastAsia="Times New Roman" w:hAnsi="Times New Roman" w:cs="Times New Roman"/>
        </w:rPr>
        <w:t>publi</w:t>
      </w:r>
      <w:r w:rsidR="0036F9F5" w:rsidRPr="008C17AC">
        <w:rPr>
          <w:rFonts w:ascii="Times New Roman" w:eastAsia="Times New Roman" w:hAnsi="Times New Roman" w:cs="Times New Roman"/>
        </w:rPr>
        <w:t>shing the protocol</w:t>
      </w:r>
      <w:r w:rsidR="77150D6D" w:rsidRPr="008C17AC">
        <w:rPr>
          <w:rFonts w:ascii="Times New Roman" w:eastAsia="Times New Roman" w:hAnsi="Times New Roman" w:cs="Times New Roman"/>
        </w:rPr>
        <w:t xml:space="preserve"> of</w:t>
      </w:r>
      <w:r w:rsidR="31AEDB63" w:rsidRPr="008C17AC">
        <w:rPr>
          <w:rFonts w:ascii="Times New Roman" w:eastAsia="Times New Roman" w:hAnsi="Times New Roman" w:cs="Times New Roman"/>
        </w:rPr>
        <w:t xml:space="preserve"> a study [</w:t>
      </w:r>
      <w:r w:rsidR="008B286D" w:rsidRPr="008C17AC">
        <w:rPr>
          <w:rFonts w:ascii="Times New Roman" w:eastAsia="Times New Roman" w:hAnsi="Times New Roman" w:cs="Times New Roman"/>
        </w:rPr>
        <w:t>75</w:t>
      </w:r>
      <w:r w:rsidR="31AEDB63" w:rsidRPr="008C17AC">
        <w:rPr>
          <w:rFonts w:ascii="Times New Roman" w:eastAsia="Times New Roman" w:hAnsi="Times New Roman" w:cs="Times New Roman"/>
        </w:rPr>
        <w:t>]</w:t>
      </w:r>
      <w:r w:rsidR="437D6BE5" w:rsidRPr="008C17AC">
        <w:rPr>
          <w:rFonts w:ascii="Times New Roman" w:eastAsia="Times New Roman" w:hAnsi="Times New Roman" w:cs="Times New Roman"/>
        </w:rPr>
        <w:t xml:space="preserve"> and</w:t>
      </w:r>
      <w:r w:rsidR="31AEDB63" w:rsidRPr="008C17AC">
        <w:rPr>
          <w:rFonts w:ascii="Times New Roman" w:eastAsia="Times New Roman" w:hAnsi="Times New Roman" w:cs="Times New Roman"/>
        </w:rPr>
        <w:t xml:space="preserve"> two studies investigated registered reports [</w:t>
      </w:r>
      <w:r w:rsidR="008B286D" w:rsidRPr="008C17AC">
        <w:rPr>
          <w:rFonts w:ascii="Times New Roman" w:eastAsia="Times New Roman" w:hAnsi="Times New Roman" w:cs="Times New Roman"/>
        </w:rPr>
        <w:t>106</w:t>
      </w:r>
      <w:r w:rsidR="31AEDB63" w:rsidRPr="008C17AC">
        <w:rPr>
          <w:rFonts w:ascii="Times New Roman" w:eastAsia="Times New Roman" w:hAnsi="Times New Roman" w:cs="Times New Roman"/>
        </w:rPr>
        <w:t xml:space="preserve">, </w:t>
      </w:r>
      <w:r w:rsidR="008B286D" w:rsidRPr="008C17AC">
        <w:rPr>
          <w:rFonts w:ascii="Times New Roman" w:eastAsia="Times New Roman" w:hAnsi="Times New Roman" w:cs="Times New Roman"/>
        </w:rPr>
        <w:t>123</w:t>
      </w:r>
      <w:r w:rsidR="31AEDB63" w:rsidRPr="008C17AC">
        <w:rPr>
          <w:rFonts w:ascii="Times New Roman" w:eastAsia="Times New Roman" w:hAnsi="Times New Roman" w:cs="Times New Roman"/>
        </w:rPr>
        <w:t>]</w:t>
      </w:r>
      <w:r w:rsidR="2D3E10BD" w:rsidRPr="008C17AC">
        <w:rPr>
          <w:rFonts w:ascii="Times New Roman" w:eastAsia="Times New Roman" w:hAnsi="Times New Roman" w:cs="Times New Roman"/>
        </w:rPr>
        <w:t>. Two other</w:t>
      </w:r>
      <w:r w:rsidR="310854E4" w:rsidRPr="008C17AC">
        <w:rPr>
          <w:rFonts w:ascii="Times New Roman" w:eastAsia="Times New Roman" w:hAnsi="Times New Roman" w:cs="Times New Roman"/>
        </w:rPr>
        <w:t xml:space="preserve"> studies investigated </w:t>
      </w:r>
      <w:r w:rsidR="1A04CCDD" w:rsidRPr="008C17AC">
        <w:rPr>
          <w:rFonts w:ascii="Times New Roman" w:eastAsia="Times New Roman" w:hAnsi="Times New Roman" w:cs="Times New Roman"/>
        </w:rPr>
        <w:t>the effect of open workflows</w:t>
      </w:r>
      <w:r w:rsidR="310854E4" w:rsidRPr="008C17AC">
        <w:rPr>
          <w:rFonts w:ascii="Times New Roman" w:eastAsia="Times New Roman" w:hAnsi="Times New Roman" w:cs="Times New Roman"/>
        </w:rPr>
        <w:t xml:space="preserve"> [</w:t>
      </w:r>
      <w:r w:rsidR="009E0421" w:rsidRPr="008C17AC">
        <w:rPr>
          <w:rFonts w:ascii="Times New Roman" w:eastAsia="Times New Roman" w:hAnsi="Times New Roman" w:cs="Times New Roman"/>
        </w:rPr>
        <w:t>51</w:t>
      </w:r>
      <w:r w:rsidR="310854E4" w:rsidRPr="008C17AC">
        <w:rPr>
          <w:rFonts w:ascii="Times New Roman" w:eastAsia="Times New Roman" w:hAnsi="Times New Roman" w:cs="Times New Roman"/>
        </w:rPr>
        <w:t xml:space="preserve">, </w:t>
      </w:r>
      <w:r w:rsidR="008B286D" w:rsidRPr="008C17AC">
        <w:rPr>
          <w:rFonts w:ascii="Times New Roman" w:eastAsia="Times New Roman" w:hAnsi="Times New Roman" w:cs="Times New Roman"/>
        </w:rPr>
        <w:t>118</w:t>
      </w:r>
      <w:r w:rsidR="310854E4" w:rsidRPr="008C17AC">
        <w:rPr>
          <w:rFonts w:ascii="Times New Roman" w:eastAsia="Times New Roman" w:hAnsi="Times New Roman" w:cs="Times New Roman"/>
        </w:rPr>
        <w:t>]</w:t>
      </w:r>
      <w:r w:rsidR="3BF70A5F" w:rsidRPr="008C17AC">
        <w:rPr>
          <w:rFonts w:ascii="Times New Roman" w:eastAsia="Times New Roman" w:hAnsi="Times New Roman" w:cs="Times New Roman"/>
        </w:rPr>
        <w:t>.</w:t>
      </w:r>
    </w:p>
    <w:p w14:paraId="71D1F344" w14:textId="2335CE50" w:rsidR="48FC8A1A" w:rsidRPr="008C17AC" w:rsidRDefault="4E51DFB6" w:rsidP="1A6C9FDE">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u w:val="single"/>
        </w:rPr>
        <w:t>Policy guidelines issued by publishers and journals</w:t>
      </w:r>
      <w:r w:rsidR="0D882101" w:rsidRPr="008C17AC">
        <w:rPr>
          <w:rFonts w:ascii="Times New Roman" w:eastAsia="Times New Roman" w:hAnsi="Times New Roman" w:cs="Times New Roman"/>
          <w:u w:val="single"/>
        </w:rPr>
        <w:t xml:space="preserve"> (n=</w:t>
      </w:r>
      <w:r w:rsidR="57834998" w:rsidRPr="008C17AC">
        <w:rPr>
          <w:rFonts w:ascii="Times New Roman" w:eastAsia="Times New Roman" w:hAnsi="Times New Roman" w:cs="Times New Roman"/>
          <w:u w:val="single"/>
        </w:rPr>
        <w:t>4</w:t>
      </w:r>
      <w:r w:rsidR="720B1575" w:rsidRPr="008C17AC">
        <w:rPr>
          <w:rFonts w:ascii="Times New Roman" w:eastAsia="Times New Roman" w:hAnsi="Times New Roman" w:cs="Times New Roman"/>
          <w:u w:val="single"/>
        </w:rPr>
        <w:t>6</w:t>
      </w:r>
      <w:r w:rsidR="0D882101" w:rsidRPr="008C17AC">
        <w:rPr>
          <w:rFonts w:ascii="Times New Roman" w:eastAsia="Times New Roman" w:hAnsi="Times New Roman" w:cs="Times New Roman"/>
          <w:u w:val="single"/>
        </w:rPr>
        <w:t>)</w:t>
      </w:r>
      <w:r w:rsidR="6F6A1881" w:rsidRPr="008C17AC">
        <w:rPr>
          <w:rFonts w:ascii="Times New Roman" w:eastAsia="Times New Roman" w:hAnsi="Times New Roman" w:cs="Times New Roman"/>
          <w:u w:val="single"/>
        </w:rPr>
        <w:t>:</w:t>
      </w:r>
      <w:r w:rsidR="6F6A1881" w:rsidRPr="008C17AC">
        <w:rPr>
          <w:rFonts w:ascii="Times New Roman" w:eastAsia="Times New Roman" w:hAnsi="Times New Roman" w:cs="Times New Roman"/>
        </w:rPr>
        <w:t xml:space="preserve"> </w:t>
      </w:r>
      <w:r w:rsidR="06C75599" w:rsidRPr="008C17AC">
        <w:rPr>
          <w:rFonts w:ascii="Times New Roman" w:eastAsia="Times New Roman" w:hAnsi="Times New Roman" w:cs="Times New Roman"/>
        </w:rPr>
        <w:t xml:space="preserve">The </w:t>
      </w:r>
      <w:r w:rsidR="5F3F2A95" w:rsidRPr="008C17AC">
        <w:rPr>
          <w:rFonts w:ascii="Times New Roman" w:eastAsia="Times New Roman" w:hAnsi="Times New Roman" w:cs="Times New Roman"/>
        </w:rPr>
        <w:t xml:space="preserve">intervention </w:t>
      </w:r>
      <w:r w:rsidR="7D56395F" w:rsidRPr="008C17AC">
        <w:rPr>
          <w:rFonts w:ascii="Times New Roman" w:eastAsia="Times New Roman" w:hAnsi="Times New Roman" w:cs="Times New Roman"/>
        </w:rPr>
        <w:t xml:space="preserve">most commonly studied </w:t>
      </w:r>
      <w:r w:rsidR="5F3F2A95" w:rsidRPr="008C17AC">
        <w:rPr>
          <w:rFonts w:ascii="Times New Roman" w:eastAsia="Times New Roman" w:hAnsi="Times New Roman" w:cs="Times New Roman"/>
        </w:rPr>
        <w:t>was</w:t>
      </w:r>
      <w:r w:rsidR="59EBAEE4" w:rsidRPr="008C17AC">
        <w:rPr>
          <w:rFonts w:ascii="Times New Roman" w:eastAsia="Times New Roman" w:hAnsi="Times New Roman" w:cs="Times New Roman"/>
        </w:rPr>
        <w:t xml:space="preserve"> the implementation of </w:t>
      </w:r>
      <w:r w:rsidR="45544E62" w:rsidRPr="008C17AC">
        <w:rPr>
          <w:rFonts w:ascii="Times New Roman" w:eastAsia="Times New Roman" w:hAnsi="Times New Roman" w:cs="Times New Roman"/>
        </w:rPr>
        <w:t xml:space="preserve">a </w:t>
      </w:r>
      <w:r w:rsidR="59EBAEE4" w:rsidRPr="008C17AC">
        <w:rPr>
          <w:rFonts w:ascii="Times New Roman" w:eastAsia="Times New Roman" w:hAnsi="Times New Roman" w:cs="Times New Roman"/>
        </w:rPr>
        <w:t>policy by publishers and journals</w:t>
      </w:r>
      <w:r w:rsidR="5E66F374" w:rsidRPr="008C17AC">
        <w:rPr>
          <w:rFonts w:ascii="Times New Roman" w:eastAsia="Times New Roman" w:hAnsi="Times New Roman" w:cs="Times New Roman"/>
        </w:rPr>
        <w:t>. Seven of those investigated the effect of statements issued by the International Committee of Medical Journal Editors (I</w:t>
      </w:r>
      <w:r w:rsidR="14402E99" w:rsidRPr="008C17AC">
        <w:rPr>
          <w:rFonts w:ascii="Times New Roman" w:eastAsia="Times New Roman" w:hAnsi="Times New Roman" w:cs="Times New Roman"/>
        </w:rPr>
        <w:t>CMJE)</w:t>
      </w:r>
      <w:r w:rsidR="1888D852" w:rsidRPr="008C17AC">
        <w:rPr>
          <w:rFonts w:ascii="Times New Roman" w:eastAsia="Times New Roman" w:hAnsi="Times New Roman" w:cs="Times New Roman"/>
        </w:rPr>
        <w:t xml:space="preserve"> on data sharing [</w:t>
      </w:r>
      <w:r w:rsidR="008B286D" w:rsidRPr="008C17AC">
        <w:rPr>
          <w:rFonts w:ascii="Times New Roman" w:eastAsia="Times New Roman" w:hAnsi="Times New Roman" w:cs="Times New Roman"/>
        </w:rPr>
        <w:t>56</w:t>
      </w:r>
      <w:r w:rsidR="1888D852" w:rsidRPr="008C17AC">
        <w:rPr>
          <w:rFonts w:ascii="Times New Roman" w:eastAsia="Times New Roman" w:hAnsi="Times New Roman" w:cs="Times New Roman"/>
        </w:rPr>
        <w:t xml:space="preserve">, </w:t>
      </w:r>
      <w:r w:rsidR="008B286D" w:rsidRPr="008C17AC">
        <w:rPr>
          <w:rFonts w:ascii="Times New Roman" w:eastAsia="Times New Roman" w:hAnsi="Times New Roman" w:cs="Times New Roman"/>
        </w:rPr>
        <w:t>67</w:t>
      </w:r>
      <w:r w:rsidR="1888D852" w:rsidRPr="008C17AC">
        <w:rPr>
          <w:rFonts w:ascii="Times New Roman" w:eastAsia="Times New Roman" w:hAnsi="Times New Roman" w:cs="Times New Roman"/>
        </w:rPr>
        <w:t xml:space="preserve">, </w:t>
      </w:r>
      <w:r w:rsidR="00780384" w:rsidRPr="008C17AC">
        <w:rPr>
          <w:rFonts w:ascii="Times New Roman" w:eastAsia="Times New Roman" w:hAnsi="Times New Roman" w:cs="Times New Roman"/>
        </w:rPr>
        <w:t>114</w:t>
      </w:r>
      <w:r w:rsidR="1888D852" w:rsidRPr="008C17AC">
        <w:rPr>
          <w:rFonts w:ascii="Times New Roman" w:eastAsia="Times New Roman" w:hAnsi="Times New Roman" w:cs="Times New Roman"/>
        </w:rPr>
        <w:t xml:space="preserve">, </w:t>
      </w:r>
      <w:r w:rsidR="008B286D" w:rsidRPr="008C17AC">
        <w:rPr>
          <w:rFonts w:ascii="Times New Roman" w:eastAsia="Times New Roman" w:hAnsi="Times New Roman" w:cs="Times New Roman"/>
        </w:rPr>
        <w:t>119</w:t>
      </w:r>
      <w:r w:rsidR="1888D852" w:rsidRPr="008C17AC">
        <w:rPr>
          <w:rFonts w:ascii="Times New Roman" w:eastAsia="Times New Roman" w:hAnsi="Times New Roman" w:cs="Times New Roman"/>
        </w:rPr>
        <w:t>]</w:t>
      </w:r>
      <w:r w:rsidR="195CF006" w:rsidRPr="008C17AC">
        <w:rPr>
          <w:rFonts w:ascii="Times New Roman" w:eastAsia="Times New Roman" w:hAnsi="Times New Roman" w:cs="Times New Roman"/>
        </w:rPr>
        <w:t>, trial registration [</w:t>
      </w:r>
      <w:r w:rsidR="008B286D" w:rsidRPr="008C17AC">
        <w:rPr>
          <w:rFonts w:ascii="Times New Roman" w:eastAsia="Times New Roman" w:hAnsi="Times New Roman" w:cs="Times New Roman"/>
        </w:rPr>
        <w:t>82</w:t>
      </w:r>
      <w:r w:rsidR="195CF006" w:rsidRPr="008C17AC">
        <w:rPr>
          <w:rFonts w:ascii="Times New Roman" w:eastAsia="Times New Roman" w:hAnsi="Times New Roman" w:cs="Times New Roman"/>
        </w:rPr>
        <w:t xml:space="preserve">, </w:t>
      </w:r>
      <w:r w:rsidR="00780384" w:rsidRPr="008C17AC">
        <w:rPr>
          <w:rFonts w:ascii="Times New Roman" w:eastAsia="Times New Roman" w:hAnsi="Times New Roman" w:cs="Times New Roman"/>
        </w:rPr>
        <w:t>121</w:t>
      </w:r>
      <w:r w:rsidR="195CF006" w:rsidRPr="008C17AC">
        <w:rPr>
          <w:rFonts w:ascii="Times New Roman" w:eastAsia="Times New Roman" w:hAnsi="Times New Roman" w:cs="Times New Roman"/>
        </w:rPr>
        <w:t>] and reporting guidelines [</w:t>
      </w:r>
      <w:r w:rsidR="008B286D" w:rsidRPr="008C17AC">
        <w:rPr>
          <w:rFonts w:ascii="Times New Roman" w:eastAsia="Times New Roman" w:hAnsi="Times New Roman" w:cs="Times New Roman"/>
        </w:rPr>
        <w:t>53</w:t>
      </w:r>
      <w:r w:rsidR="195CF006" w:rsidRPr="008C17AC">
        <w:rPr>
          <w:rFonts w:ascii="Times New Roman" w:eastAsia="Times New Roman" w:hAnsi="Times New Roman" w:cs="Times New Roman"/>
        </w:rPr>
        <w:t>]</w:t>
      </w:r>
      <w:r w:rsidR="59EBAEE4" w:rsidRPr="008C17AC">
        <w:rPr>
          <w:rFonts w:ascii="Times New Roman" w:eastAsia="Times New Roman" w:hAnsi="Times New Roman" w:cs="Times New Roman"/>
        </w:rPr>
        <w:t xml:space="preserve">. </w:t>
      </w:r>
      <w:r w:rsidR="3B03FEFA" w:rsidRPr="008C17AC">
        <w:rPr>
          <w:rFonts w:ascii="Times New Roman" w:eastAsia="Times New Roman" w:hAnsi="Times New Roman" w:cs="Times New Roman"/>
        </w:rPr>
        <w:t>Twenty-</w:t>
      </w:r>
      <w:r w:rsidR="0A412F09" w:rsidRPr="008C17AC">
        <w:rPr>
          <w:rFonts w:ascii="Times New Roman" w:eastAsia="Times New Roman" w:hAnsi="Times New Roman" w:cs="Times New Roman"/>
        </w:rPr>
        <w:t>f</w:t>
      </w:r>
      <w:r w:rsidR="7169DD1F" w:rsidRPr="008C17AC">
        <w:rPr>
          <w:rFonts w:ascii="Times New Roman" w:eastAsia="Times New Roman" w:hAnsi="Times New Roman" w:cs="Times New Roman"/>
        </w:rPr>
        <w:t>ive</w:t>
      </w:r>
      <w:r w:rsidR="3B03FEFA" w:rsidRPr="008C17AC">
        <w:rPr>
          <w:rFonts w:ascii="Times New Roman" w:eastAsia="Times New Roman" w:hAnsi="Times New Roman" w:cs="Times New Roman"/>
        </w:rPr>
        <w:t xml:space="preserve"> </w:t>
      </w:r>
      <w:r w:rsidR="30B17FBB" w:rsidRPr="008C17AC">
        <w:rPr>
          <w:rFonts w:ascii="Times New Roman" w:eastAsia="Times New Roman" w:hAnsi="Times New Roman" w:cs="Times New Roman"/>
        </w:rPr>
        <w:t>investigated journal policies or author instructions about data sharing [</w:t>
      </w:r>
      <w:r w:rsidR="008B286D" w:rsidRPr="008C17AC">
        <w:rPr>
          <w:rFonts w:ascii="Times New Roman" w:eastAsia="Times New Roman" w:hAnsi="Times New Roman" w:cs="Times New Roman"/>
        </w:rPr>
        <w:t>50</w:t>
      </w:r>
      <w:r w:rsidR="30B17FBB" w:rsidRPr="008C17AC">
        <w:rPr>
          <w:rFonts w:ascii="Times New Roman" w:eastAsia="Times New Roman" w:hAnsi="Times New Roman" w:cs="Times New Roman"/>
        </w:rPr>
        <w:t xml:space="preserve">, </w:t>
      </w:r>
      <w:r w:rsidR="008B286D" w:rsidRPr="008C17AC">
        <w:rPr>
          <w:rFonts w:ascii="Times New Roman" w:eastAsia="Times New Roman" w:hAnsi="Times New Roman" w:cs="Times New Roman"/>
        </w:rPr>
        <w:t>52</w:t>
      </w:r>
      <w:r w:rsidR="30B17FBB" w:rsidRPr="008C17AC">
        <w:rPr>
          <w:rFonts w:ascii="Times New Roman" w:eastAsia="Times New Roman" w:hAnsi="Times New Roman" w:cs="Times New Roman"/>
        </w:rPr>
        <w:t xml:space="preserve">, </w:t>
      </w:r>
      <w:r w:rsidR="008B286D" w:rsidRPr="008C17AC">
        <w:rPr>
          <w:rFonts w:ascii="Times New Roman" w:eastAsia="Times New Roman" w:hAnsi="Times New Roman" w:cs="Times New Roman"/>
        </w:rPr>
        <w:t>54</w:t>
      </w:r>
      <w:r w:rsidR="30B17FBB" w:rsidRPr="008C17AC">
        <w:rPr>
          <w:rFonts w:ascii="Times New Roman" w:eastAsia="Times New Roman" w:hAnsi="Times New Roman" w:cs="Times New Roman"/>
        </w:rPr>
        <w:t xml:space="preserve">, </w:t>
      </w:r>
      <w:r w:rsidR="008B286D" w:rsidRPr="008C17AC">
        <w:rPr>
          <w:rFonts w:ascii="Times New Roman" w:eastAsia="Times New Roman" w:hAnsi="Times New Roman" w:cs="Times New Roman"/>
        </w:rPr>
        <w:t>66</w:t>
      </w:r>
      <w:r w:rsidR="30B17FBB" w:rsidRPr="008C17AC">
        <w:rPr>
          <w:rFonts w:ascii="Times New Roman" w:eastAsia="Times New Roman" w:hAnsi="Times New Roman" w:cs="Times New Roman"/>
        </w:rPr>
        <w:t xml:space="preserve">, </w:t>
      </w:r>
      <w:r w:rsidR="008B286D" w:rsidRPr="008C17AC">
        <w:rPr>
          <w:rFonts w:ascii="Times New Roman" w:eastAsia="Times New Roman" w:hAnsi="Times New Roman" w:cs="Times New Roman"/>
        </w:rPr>
        <w:t>69</w:t>
      </w:r>
      <w:r w:rsidR="30B17FBB" w:rsidRPr="008C17AC">
        <w:rPr>
          <w:rFonts w:ascii="Times New Roman" w:eastAsia="Times New Roman" w:hAnsi="Times New Roman" w:cs="Times New Roman"/>
        </w:rPr>
        <w:t xml:space="preserve">, </w:t>
      </w:r>
      <w:r w:rsidR="008B286D" w:rsidRPr="008C17AC">
        <w:rPr>
          <w:rFonts w:ascii="Times New Roman" w:eastAsia="Times New Roman" w:hAnsi="Times New Roman" w:cs="Times New Roman"/>
        </w:rPr>
        <w:t>77</w:t>
      </w:r>
      <w:r w:rsidR="30B17FBB" w:rsidRPr="008C17AC">
        <w:rPr>
          <w:rFonts w:ascii="Times New Roman" w:eastAsia="Times New Roman" w:hAnsi="Times New Roman" w:cs="Times New Roman"/>
        </w:rPr>
        <w:t xml:space="preserve">, </w:t>
      </w:r>
      <w:r w:rsidR="008B286D" w:rsidRPr="008C17AC">
        <w:rPr>
          <w:rFonts w:ascii="Times New Roman" w:eastAsia="Times New Roman" w:hAnsi="Times New Roman" w:cs="Times New Roman"/>
        </w:rPr>
        <w:t>81 with</w:t>
      </w:r>
      <w:r w:rsidR="30B17FBB" w:rsidRPr="008C17AC">
        <w:rPr>
          <w:rFonts w:ascii="Times New Roman" w:eastAsia="Times New Roman" w:hAnsi="Times New Roman" w:cs="Times New Roman"/>
        </w:rPr>
        <w:t xml:space="preserve"> 2 studies, </w:t>
      </w:r>
      <w:r w:rsidR="008B286D" w:rsidRPr="008C17AC">
        <w:rPr>
          <w:rFonts w:ascii="Times New Roman" w:eastAsia="Times New Roman" w:hAnsi="Times New Roman" w:cs="Times New Roman"/>
        </w:rPr>
        <w:t>80</w:t>
      </w:r>
      <w:r w:rsidR="30B17FBB" w:rsidRPr="008C17AC">
        <w:rPr>
          <w:rFonts w:ascii="Times New Roman" w:eastAsia="Times New Roman" w:hAnsi="Times New Roman" w:cs="Times New Roman"/>
        </w:rPr>
        <w:t xml:space="preserve">, </w:t>
      </w:r>
      <w:r w:rsidR="008B286D" w:rsidRPr="008C17AC">
        <w:rPr>
          <w:rFonts w:ascii="Times New Roman" w:eastAsia="Times New Roman" w:hAnsi="Times New Roman" w:cs="Times New Roman"/>
        </w:rPr>
        <w:t>83</w:t>
      </w:r>
      <w:r w:rsidR="30B17FBB" w:rsidRPr="008C17AC">
        <w:rPr>
          <w:rFonts w:ascii="Times New Roman" w:eastAsia="Times New Roman" w:hAnsi="Times New Roman" w:cs="Times New Roman"/>
        </w:rPr>
        <w:t xml:space="preserve">, </w:t>
      </w:r>
      <w:r w:rsidR="00023C57" w:rsidRPr="008C17AC">
        <w:rPr>
          <w:rFonts w:ascii="Times New Roman" w:eastAsia="Times New Roman" w:hAnsi="Times New Roman" w:cs="Times New Roman"/>
        </w:rPr>
        <w:t>93 with</w:t>
      </w:r>
      <w:r w:rsidR="30B17FBB" w:rsidRPr="008C17AC">
        <w:rPr>
          <w:rFonts w:ascii="Times New Roman" w:eastAsia="Times New Roman" w:hAnsi="Times New Roman" w:cs="Times New Roman"/>
        </w:rPr>
        <w:t xml:space="preserve"> 2 studies, </w:t>
      </w:r>
      <w:r w:rsidR="00023C57" w:rsidRPr="008C17AC">
        <w:rPr>
          <w:rFonts w:ascii="Times New Roman" w:eastAsia="Times New Roman" w:hAnsi="Times New Roman" w:cs="Times New Roman"/>
        </w:rPr>
        <w:t>96</w:t>
      </w:r>
      <w:r w:rsidR="30B17FBB" w:rsidRPr="008C17AC">
        <w:rPr>
          <w:rFonts w:ascii="Times New Roman" w:eastAsia="Times New Roman" w:hAnsi="Times New Roman" w:cs="Times New Roman"/>
        </w:rPr>
        <w:t xml:space="preserve">, </w:t>
      </w:r>
      <w:r w:rsidR="00023C57" w:rsidRPr="008C17AC">
        <w:rPr>
          <w:rFonts w:ascii="Times New Roman" w:eastAsia="Times New Roman" w:hAnsi="Times New Roman" w:cs="Times New Roman"/>
        </w:rPr>
        <w:t>101</w:t>
      </w:r>
      <w:r w:rsidR="30B17FBB" w:rsidRPr="008C17AC">
        <w:rPr>
          <w:rFonts w:ascii="Times New Roman" w:eastAsia="Times New Roman" w:hAnsi="Times New Roman" w:cs="Times New Roman"/>
        </w:rPr>
        <w:t xml:space="preserve">, </w:t>
      </w:r>
      <w:r w:rsidR="00023C57" w:rsidRPr="008C17AC">
        <w:rPr>
          <w:rFonts w:ascii="Times New Roman" w:eastAsia="Times New Roman" w:hAnsi="Times New Roman" w:cs="Times New Roman"/>
        </w:rPr>
        <w:t>103 with 2 studies</w:t>
      </w:r>
      <w:r w:rsidR="30B17FBB" w:rsidRPr="008C17AC">
        <w:rPr>
          <w:rFonts w:ascii="Times New Roman" w:eastAsia="Times New Roman" w:hAnsi="Times New Roman" w:cs="Times New Roman"/>
        </w:rPr>
        <w:t xml:space="preserve">, </w:t>
      </w:r>
      <w:r w:rsidR="00023C57" w:rsidRPr="008C17AC">
        <w:rPr>
          <w:rFonts w:ascii="Times New Roman" w:eastAsia="Times New Roman" w:hAnsi="Times New Roman" w:cs="Times New Roman"/>
        </w:rPr>
        <w:t>104</w:t>
      </w:r>
      <w:r w:rsidR="30B17FBB" w:rsidRPr="008C17AC">
        <w:rPr>
          <w:rFonts w:ascii="Times New Roman" w:eastAsia="Times New Roman" w:hAnsi="Times New Roman" w:cs="Times New Roman"/>
        </w:rPr>
        <w:t xml:space="preserve">, </w:t>
      </w:r>
      <w:r w:rsidR="00023C57" w:rsidRPr="008C17AC">
        <w:rPr>
          <w:rFonts w:ascii="Times New Roman" w:eastAsia="Times New Roman" w:hAnsi="Times New Roman" w:cs="Times New Roman"/>
        </w:rPr>
        <w:t>105 with</w:t>
      </w:r>
      <w:r w:rsidR="30B17FBB" w:rsidRPr="008C17AC">
        <w:rPr>
          <w:rFonts w:ascii="Times New Roman" w:eastAsia="Times New Roman" w:hAnsi="Times New Roman" w:cs="Times New Roman"/>
        </w:rPr>
        <w:t xml:space="preserve"> 2 studies, </w:t>
      </w:r>
      <w:r w:rsidR="00023C57" w:rsidRPr="008C17AC">
        <w:rPr>
          <w:rFonts w:ascii="Times New Roman" w:eastAsia="Times New Roman" w:hAnsi="Times New Roman" w:cs="Times New Roman"/>
        </w:rPr>
        <w:t>108, 109</w:t>
      </w:r>
      <w:r w:rsidR="30B17FBB" w:rsidRPr="008C17AC">
        <w:rPr>
          <w:rFonts w:ascii="Times New Roman" w:eastAsia="Times New Roman" w:hAnsi="Times New Roman" w:cs="Times New Roman"/>
        </w:rPr>
        <w:t xml:space="preserve">, </w:t>
      </w:r>
      <w:r w:rsidR="00023C57" w:rsidRPr="008C17AC">
        <w:rPr>
          <w:rFonts w:ascii="Times New Roman" w:eastAsia="Times New Roman" w:hAnsi="Times New Roman" w:cs="Times New Roman"/>
        </w:rPr>
        <w:t>112</w:t>
      </w:r>
      <w:r w:rsidR="30B17FBB" w:rsidRPr="008C17AC">
        <w:rPr>
          <w:rFonts w:ascii="Times New Roman" w:eastAsia="Times New Roman" w:hAnsi="Times New Roman" w:cs="Times New Roman"/>
        </w:rPr>
        <w:t xml:space="preserve">, </w:t>
      </w:r>
      <w:r w:rsidR="00023C57" w:rsidRPr="008C17AC">
        <w:rPr>
          <w:rFonts w:ascii="Times New Roman" w:eastAsia="Times New Roman" w:hAnsi="Times New Roman" w:cs="Times New Roman"/>
        </w:rPr>
        <w:t>116</w:t>
      </w:r>
      <w:r w:rsidR="30B17FBB" w:rsidRPr="008C17AC">
        <w:rPr>
          <w:rFonts w:ascii="Times New Roman" w:eastAsia="Times New Roman" w:hAnsi="Times New Roman" w:cs="Times New Roman"/>
        </w:rPr>
        <w:t xml:space="preserve">, </w:t>
      </w:r>
      <w:r w:rsidR="00780384" w:rsidRPr="008C17AC">
        <w:rPr>
          <w:rFonts w:ascii="Times New Roman" w:eastAsia="Times New Roman" w:hAnsi="Times New Roman" w:cs="Times New Roman"/>
        </w:rPr>
        <w:t>126</w:t>
      </w:r>
      <w:r w:rsidR="525CF4BD" w:rsidRPr="008C17AC">
        <w:rPr>
          <w:rFonts w:ascii="Times New Roman" w:eastAsia="Times New Roman" w:hAnsi="Times New Roman" w:cs="Times New Roman"/>
        </w:rPr>
        <w:t xml:space="preserve">, </w:t>
      </w:r>
      <w:r w:rsidR="00780384" w:rsidRPr="008C17AC">
        <w:rPr>
          <w:rFonts w:ascii="Times New Roman" w:eastAsia="Times New Roman" w:hAnsi="Times New Roman" w:cs="Times New Roman"/>
        </w:rPr>
        <w:t>128</w:t>
      </w:r>
      <w:r w:rsidR="30B17FBB" w:rsidRPr="008C17AC">
        <w:rPr>
          <w:rFonts w:ascii="Times New Roman" w:eastAsia="Times New Roman" w:hAnsi="Times New Roman" w:cs="Times New Roman"/>
        </w:rPr>
        <w:t xml:space="preserve">]; </w:t>
      </w:r>
      <w:r w:rsidR="3B03FEFA" w:rsidRPr="008C17AC">
        <w:rPr>
          <w:rFonts w:ascii="Times New Roman" w:eastAsia="Times New Roman" w:hAnsi="Times New Roman" w:cs="Times New Roman"/>
        </w:rPr>
        <w:t>seven about rep</w:t>
      </w:r>
      <w:r w:rsidR="2E203B23" w:rsidRPr="008C17AC">
        <w:rPr>
          <w:rFonts w:ascii="Times New Roman" w:eastAsia="Times New Roman" w:hAnsi="Times New Roman" w:cs="Times New Roman"/>
        </w:rPr>
        <w:t>o</w:t>
      </w:r>
      <w:r w:rsidR="3B03FEFA" w:rsidRPr="008C17AC">
        <w:rPr>
          <w:rFonts w:ascii="Times New Roman" w:eastAsia="Times New Roman" w:hAnsi="Times New Roman" w:cs="Times New Roman"/>
        </w:rPr>
        <w:t>rting guidelines</w:t>
      </w:r>
      <w:r w:rsidR="263219FA" w:rsidRPr="008C17AC">
        <w:rPr>
          <w:rFonts w:ascii="Times New Roman" w:eastAsia="Times New Roman" w:hAnsi="Times New Roman" w:cs="Times New Roman"/>
        </w:rPr>
        <w:t xml:space="preserve"> [</w:t>
      </w:r>
      <w:r w:rsidR="008B286D" w:rsidRPr="008C17AC">
        <w:rPr>
          <w:rFonts w:ascii="Times New Roman" w:eastAsia="Times New Roman" w:hAnsi="Times New Roman" w:cs="Times New Roman"/>
        </w:rPr>
        <w:t>48</w:t>
      </w:r>
      <w:r w:rsidR="263219FA" w:rsidRPr="008C17AC">
        <w:rPr>
          <w:rFonts w:ascii="Times New Roman" w:eastAsia="Times New Roman" w:hAnsi="Times New Roman" w:cs="Times New Roman"/>
        </w:rPr>
        <w:t xml:space="preserve">, </w:t>
      </w:r>
      <w:r w:rsidR="008B286D" w:rsidRPr="008C17AC">
        <w:rPr>
          <w:rFonts w:ascii="Times New Roman" w:eastAsia="Times New Roman" w:hAnsi="Times New Roman" w:cs="Times New Roman"/>
        </w:rPr>
        <w:t>60</w:t>
      </w:r>
      <w:r w:rsidR="263219FA" w:rsidRPr="008C17AC">
        <w:rPr>
          <w:rFonts w:ascii="Times New Roman" w:eastAsia="Times New Roman" w:hAnsi="Times New Roman" w:cs="Times New Roman"/>
        </w:rPr>
        <w:t xml:space="preserve">, </w:t>
      </w:r>
      <w:r w:rsidR="008B286D" w:rsidRPr="008C17AC">
        <w:rPr>
          <w:rFonts w:ascii="Times New Roman" w:eastAsia="Times New Roman" w:hAnsi="Times New Roman" w:cs="Times New Roman"/>
        </w:rPr>
        <w:t>76</w:t>
      </w:r>
      <w:r w:rsidR="263219FA" w:rsidRPr="008C17AC">
        <w:rPr>
          <w:rFonts w:ascii="Times New Roman" w:eastAsia="Times New Roman" w:hAnsi="Times New Roman" w:cs="Times New Roman"/>
        </w:rPr>
        <w:t xml:space="preserve">, </w:t>
      </w:r>
      <w:r w:rsidR="008B286D" w:rsidRPr="008C17AC">
        <w:rPr>
          <w:rFonts w:ascii="Times New Roman" w:eastAsia="Times New Roman" w:hAnsi="Times New Roman" w:cs="Times New Roman"/>
        </w:rPr>
        <w:t>86</w:t>
      </w:r>
      <w:r w:rsidR="263219FA" w:rsidRPr="008C17AC">
        <w:rPr>
          <w:rFonts w:ascii="Times New Roman" w:eastAsia="Times New Roman" w:hAnsi="Times New Roman" w:cs="Times New Roman"/>
        </w:rPr>
        <w:t xml:space="preserve">, </w:t>
      </w:r>
      <w:r w:rsidR="00023C57" w:rsidRPr="008C17AC">
        <w:rPr>
          <w:rFonts w:ascii="Times New Roman" w:eastAsia="Times New Roman" w:hAnsi="Times New Roman" w:cs="Times New Roman"/>
        </w:rPr>
        <w:t>92</w:t>
      </w:r>
      <w:r w:rsidR="263219FA" w:rsidRPr="008C17AC">
        <w:rPr>
          <w:rFonts w:ascii="Times New Roman" w:eastAsia="Times New Roman" w:hAnsi="Times New Roman" w:cs="Times New Roman"/>
        </w:rPr>
        <w:t xml:space="preserve">, </w:t>
      </w:r>
      <w:r w:rsidR="00780384" w:rsidRPr="008C17AC">
        <w:rPr>
          <w:rFonts w:ascii="Times New Roman" w:eastAsia="Times New Roman" w:hAnsi="Times New Roman" w:cs="Times New Roman"/>
        </w:rPr>
        <w:t>132, 133]</w:t>
      </w:r>
      <w:r w:rsidR="3B03FEFA" w:rsidRPr="008C17AC">
        <w:rPr>
          <w:rFonts w:ascii="Times New Roman" w:eastAsia="Times New Roman" w:hAnsi="Times New Roman" w:cs="Times New Roman"/>
        </w:rPr>
        <w:t>, and f</w:t>
      </w:r>
      <w:r w:rsidR="66C48005" w:rsidRPr="008C17AC">
        <w:rPr>
          <w:rFonts w:ascii="Times New Roman" w:eastAsia="Times New Roman" w:hAnsi="Times New Roman" w:cs="Times New Roman"/>
        </w:rPr>
        <w:t>our</w:t>
      </w:r>
      <w:r w:rsidR="3B03FEFA" w:rsidRPr="008C17AC">
        <w:rPr>
          <w:rFonts w:ascii="Times New Roman" w:eastAsia="Times New Roman" w:hAnsi="Times New Roman" w:cs="Times New Roman"/>
        </w:rPr>
        <w:t xml:space="preserve"> about </w:t>
      </w:r>
      <w:r w:rsidR="679FC851" w:rsidRPr="008C17AC">
        <w:rPr>
          <w:rFonts w:ascii="Times New Roman" w:eastAsia="Times New Roman" w:hAnsi="Times New Roman" w:cs="Times New Roman"/>
        </w:rPr>
        <w:t>pre</w:t>
      </w:r>
      <w:r w:rsidR="3B03FEFA" w:rsidRPr="008C17AC">
        <w:rPr>
          <w:rFonts w:ascii="Times New Roman" w:eastAsia="Times New Roman" w:hAnsi="Times New Roman" w:cs="Times New Roman"/>
        </w:rPr>
        <w:t>regi</w:t>
      </w:r>
      <w:r w:rsidR="7A94FEAE" w:rsidRPr="008C17AC">
        <w:rPr>
          <w:rFonts w:ascii="Times New Roman" w:eastAsia="Times New Roman" w:hAnsi="Times New Roman" w:cs="Times New Roman"/>
        </w:rPr>
        <w:t>s</w:t>
      </w:r>
      <w:r w:rsidR="3B03FEFA" w:rsidRPr="008C17AC">
        <w:rPr>
          <w:rFonts w:ascii="Times New Roman" w:eastAsia="Times New Roman" w:hAnsi="Times New Roman" w:cs="Times New Roman"/>
        </w:rPr>
        <w:t>t</w:t>
      </w:r>
      <w:r w:rsidR="1A5E9C30" w:rsidRPr="008C17AC">
        <w:rPr>
          <w:rFonts w:ascii="Times New Roman" w:eastAsia="Times New Roman" w:hAnsi="Times New Roman" w:cs="Times New Roman"/>
        </w:rPr>
        <w:t>r</w:t>
      </w:r>
      <w:r w:rsidR="3B03FEFA" w:rsidRPr="008C17AC">
        <w:rPr>
          <w:rFonts w:ascii="Times New Roman" w:eastAsia="Times New Roman" w:hAnsi="Times New Roman" w:cs="Times New Roman"/>
        </w:rPr>
        <w:t>ation</w:t>
      </w:r>
      <w:r w:rsidR="635BBB78" w:rsidRPr="008C17AC">
        <w:rPr>
          <w:rFonts w:ascii="Times New Roman" w:eastAsia="Times New Roman" w:hAnsi="Times New Roman" w:cs="Times New Roman"/>
        </w:rPr>
        <w:t xml:space="preserve"> of studies, including trial registration [</w:t>
      </w:r>
      <w:r w:rsidR="008B286D" w:rsidRPr="008C17AC">
        <w:rPr>
          <w:rFonts w:ascii="Times New Roman" w:eastAsia="Times New Roman" w:hAnsi="Times New Roman" w:cs="Times New Roman"/>
        </w:rPr>
        <w:t>82</w:t>
      </w:r>
      <w:r w:rsidR="635BBB78" w:rsidRPr="008C17AC">
        <w:rPr>
          <w:rFonts w:ascii="Times New Roman" w:eastAsia="Times New Roman" w:hAnsi="Times New Roman" w:cs="Times New Roman"/>
        </w:rPr>
        <w:t xml:space="preserve">, </w:t>
      </w:r>
      <w:r w:rsidR="00023C57" w:rsidRPr="008C17AC">
        <w:rPr>
          <w:rFonts w:ascii="Times New Roman" w:eastAsia="Times New Roman" w:hAnsi="Times New Roman" w:cs="Times New Roman"/>
        </w:rPr>
        <w:t>98</w:t>
      </w:r>
      <w:r w:rsidR="635BBB78" w:rsidRPr="008C17AC">
        <w:rPr>
          <w:rFonts w:ascii="Times New Roman" w:eastAsia="Times New Roman" w:hAnsi="Times New Roman" w:cs="Times New Roman"/>
        </w:rPr>
        <w:t xml:space="preserve">, </w:t>
      </w:r>
      <w:r w:rsidR="00780384" w:rsidRPr="008C17AC">
        <w:rPr>
          <w:rFonts w:ascii="Times New Roman" w:eastAsia="Times New Roman" w:hAnsi="Times New Roman" w:cs="Times New Roman"/>
        </w:rPr>
        <w:t>120</w:t>
      </w:r>
      <w:r w:rsidR="635BBB78" w:rsidRPr="008C17AC">
        <w:rPr>
          <w:rFonts w:ascii="Times New Roman" w:eastAsia="Times New Roman" w:hAnsi="Times New Roman" w:cs="Times New Roman"/>
        </w:rPr>
        <w:t xml:space="preserve">, </w:t>
      </w:r>
      <w:r w:rsidR="008B286D" w:rsidRPr="008C17AC">
        <w:rPr>
          <w:rFonts w:ascii="Times New Roman" w:eastAsia="Times New Roman" w:hAnsi="Times New Roman" w:cs="Times New Roman"/>
        </w:rPr>
        <w:t>58</w:t>
      </w:r>
      <w:r w:rsidR="635BBB78" w:rsidRPr="008C17AC">
        <w:rPr>
          <w:rFonts w:ascii="Times New Roman" w:eastAsia="Times New Roman" w:hAnsi="Times New Roman" w:cs="Times New Roman"/>
        </w:rPr>
        <w:t>]</w:t>
      </w:r>
      <w:r w:rsidR="3B03FEFA" w:rsidRPr="008C17AC">
        <w:rPr>
          <w:rFonts w:ascii="Times New Roman" w:eastAsia="Times New Roman" w:hAnsi="Times New Roman" w:cs="Times New Roman"/>
        </w:rPr>
        <w:t>.</w:t>
      </w:r>
      <w:r w:rsidR="1D0B2AED" w:rsidRPr="008C17AC">
        <w:rPr>
          <w:rFonts w:ascii="Times New Roman" w:eastAsia="Times New Roman" w:hAnsi="Times New Roman" w:cs="Times New Roman"/>
        </w:rPr>
        <w:t xml:space="preserve"> </w:t>
      </w:r>
      <w:r w:rsidR="697A901C" w:rsidRPr="008C17AC">
        <w:rPr>
          <w:rFonts w:ascii="Times New Roman" w:eastAsia="Times New Roman" w:hAnsi="Times New Roman" w:cs="Times New Roman"/>
        </w:rPr>
        <w:t>Two</w:t>
      </w:r>
      <w:r w:rsidR="48B7D81D" w:rsidRPr="008C17AC">
        <w:rPr>
          <w:rFonts w:ascii="Times New Roman" w:eastAsia="Times New Roman" w:hAnsi="Times New Roman" w:cs="Times New Roman"/>
        </w:rPr>
        <w:t xml:space="preserve"> stud</w:t>
      </w:r>
      <w:r w:rsidR="2A3CF2B8" w:rsidRPr="008C17AC">
        <w:rPr>
          <w:rFonts w:ascii="Times New Roman" w:eastAsia="Times New Roman" w:hAnsi="Times New Roman" w:cs="Times New Roman"/>
        </w:rPr>
        <w:t>ies from the same author</w:t>
      </w:r>
      <w:r w:rsidR="48B7D81D" w:rsidRPr="008C17AC">
        <w:rPr>
          <w:rFonts w:ascii="Times New Roman" w:eastAsia="Times New Roman" w:hAnsi="Times New Roman" w:cs="Times New Roman"/>
        </w:rPr>
        <w:t xml:space="preserve"> investigated the effect of generic methodological journal guidelines</w:t>
      </w:r>
      <w:r w:rsidR="0FA70E59" w:rsidRPr="008C17AC">
        <w:rPr>
          <w:rFonts w:ascii="Times New Roman" w:eastAsia="Times New Roman" w:hAnsi="Times New Roman" w:cs="Times New Roman"/>
        </w:rPr>
        <w:t xml:space="preserve"> with five years in between the two studies [</w:t>
      </w:r>
      <w:r w:rsidR="008B286D" w:rsidRPr="008C17AC">
        <w:rPr>
          <w:rFonts w:ascii="Times New Roman" w:eastAsia="Times New Roman" w:hAnsi="Times New Roman" w:cs="Times New Roman"/>
        </w:rPr>
        <w:t>73,74</w:t>
      </w:r>
      <w:r w:rsidR="0FA70E59" w:rsidRPr="008C17AC">
        <w:rPr>
          <w:rFonts w:ascii="Times New Roman" w:eastAsia="Times New Roman" w:hAnsi="Times New Roman" w:cs="Times New Roman"/>
        </w:rPr>
        <w:t>]</w:t>
      </w:r>
      <w:r w:rsidR="6FE5B37A" w:rsidRPr="008C17AC">
        <w:rPr>
          <w:rFonts w:ascii="Times New Roman" w:eastAsia="Times New Roman" w:hAnsi="Times New Roman" w:cs="Times New Roman"/>
        </w:rPr>
        <w:t>.</w:t>
      </w:r>
      <w:r w:rsidR="33FADEF9" w:rsidRPr="008C17AC">
        <w:rPr>
          <w:rFonts w:ascii="Times New Roman" w:eastAsia="Times New Roman" w:hAnsi="Times New Roman" w:cs="Times New Roman"/>
        </w:rPr>
        <w:t xml:space="preserve"> </w:t>
      </w:r>
    </w:p>
    <w:p w14:paraId="320D62CD" w14:textId="4E815AAD" w:rsidR="2BD67392" w:rsidRPr="008C17AC" w:rsidRDefault="420F6FBF" w:rsidP="23EF21E2">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u w:val="single"/>
        </w:rPr>
        <w:t>Policy guidelines by funders</w:t>
      </w:r>
      <w:r w:rsidR="3977E731" w:rsidRPr="008C17AC">
        <w:rPr>
          <w:rFonts w:ascii="Times New Roman" w:eastAsia="Times New Roman" w:hAnsi="Times New Roman" w:cs="Times New Roman"/>
          <w:u w:val="single"/>
        </w:rPr>
        <w:t xml:space="preserve"> or </w:t>
      </w:r>
      <w:r w:rsidR="1409A51D" w:rsidRPr="008C17AC">
        <w:rPr>
          <w:rFonts w:ascii="Times New Roman" w:eastAsia="Times New Roman" w:hAnsi="Times New Roman" w:cs="Times New Roman"/>
          <w:u w:val="single"/>
        </w:rPr>
        <w:t>government agencies</w:t>
      </w:r>
      <w:r w:rsidR="3977E731" w:rsidRPr="008C17AC">
        <w:rPr>
          <w:rFonts w:ascii="Times New Roman" w:eastAsia="Times New Roman" w:hAnsi="Times New Roman" w:cs="Times New Roman"/>
          <w:u w:val="single"/>
        </w:rPr>
        <w:t xml:space="preserve"> (n=3)</w:t>
      </w:r>
      <w:r w:rsidRPr="008C17AC">
        <w:rPr>
          <w:rFonts w:ascii="Times New Roman" w:eastAsia="Times New Roman" w:hAnsi="Times New Roman" w:cs="Times New Roman"/>
        </w:rPr>
        <w:t>:</w:t>
      </w:r>
      <w:r w:rsidR="00D1AEBC" w:rsidRPr="008C17AC">
        <w:rPr>
          <w:rFonts w:ascii="Times New Roman" w:eastAsia="Times New Roman" w:hAnsi="Times New Roman" w:cs="Times New Roman"/>
        </w:rPr>
        <w:t xml:space="preserve"> </w:t>
      </w:r>
      <w:r w:rsidR="55EE6007" w:rsidRPr="008C17AC">
        <w:rPr>
          <w:rFonts w:ascii="Times New Roman" w:eastAsia="Times New Roman" w:hAnsi="Times New Roman" w:cs="Times New Roman"/>
        </w:rPr>
        <w:t>T</w:t>
      </w:r>
      <w:r w:rsidRPr="008C17AC">
        <w:rPr>
          <w:rFonts w:ascii="Times New Roman" w:eastAsia="Times New Roman" w:hAnsi="Times New Roman" w:cs="Times New Roman"/>
        </w:rPr>
        <w:t>wo studies investigated policy issued by funders</w:t>
      </w:r>
      <w:r w:rsidR="49B608F5" w:rsidRPr="008C17AC">
        <w:rPr>
          <w:rFonts w:ascii="Times New Roman" w:eastAsia="Times New Roman" w:hAnsi="Times New Roman" w:cs="Times New Roman"/>
        </w:rPr>
        <w:t>, more precisely the requirement of the N</w:t>
      </w:r>
      <w:r w:rsidR="6B8EA000" w:rsidRPr="008C17AC">
        <w:rPr>
          <w:rFonts w:ascii="Times New Roman" w:eastAsia="Times New Roman" w:hAnsi="Times New Roman" w:cs="Times New Roman"/>
        </w:rPr>
        <w:t xml:space="preserve">ational </w:t>
      </w:r>
      <w:r w:rsidR="49B608F5" w:rsidRPr="008C17AC">
        <w:rPr>
          <w:rFonts w:ascii="Times New Roman" w:eastAsia="Times New Roman" w:hAnsi="Times New Roman" w:cs="Times New Roman"/>
        </w:rPr>
        <w:t>I</w:t>
      </w:r>
      <w:r w:rsidR="560D25F9" w:rsidRPr="008C17AC">
        <w:rPr>
          <w:rFonts w:ascii="Times New Roman" w:eastAsia="Times New Roman" w:hAnsi="Times New Roman" w:cs="Times New Roman"/>
        </w:rPr>
        <w:t xml:space="preserve">nstitute of </w:t>
      </w:r>
      <w:r w:rsidR="49B608F5" w:rsidRPr="008C17AC">
        <w:rPr>
          <w:rFonts w:ascii="Times New Roman" w:eastAsia="Times New Roman" w:hAnsi="Times New Roman" w:cs="Times New Roman"/>
        </w:rPr>
        <w:t>H</w:t>
      </w:r>
      <w:r w:rsidR="53F3EFC6" w:rsidRPr="008C17AC">
        <w:rPr>
          <w:rFonts w:ascii="Times New Roman" w:eastAsia="Times New Roman" w:hAnsi="Times New Roman" w:cs="Times New Roman"/>
        </w:rPr>
        <w:t>ealth (NIH)</w:t>
      </w:r>
      <w:r w:rsidR="49B608F5" w:rsidRPr="008C17AC">
        <w:rPr>
          <w:rFonts w:ascii="Times New Roman" w:eastAsia="Times New Roman" w:hAnsi="Times New Roman" w:cs="Times New Roman"/>
        </w:rPr>
        <w:t xml:space="preserve"> to provide a data sharing plan for large funding grants </w:t>
      </w:r>
      <w:r w:rsidR="66F7D53D" w:rsidRPr="008C17AC">
        <w:rPr>
          <w:rFonts w:ascii="Times New Roman" w:eastAsia="Times New Roman" w:hAnsi="Times New Roman" w:cs="Times New Roman"/>
          <w:sz w:val="24"/>
          <w:szCs w:val="24"/>
        </w:rPr>
        <w:fldChar w:fldCharType="begin"/>
      </w:r>
      <w:r w:rsidR="66F7D53D" w:rsidRPr="008C17AC">
        <w:rPr>
          <w:rFonts w:ascii="Times New Roman" w:eastAsia="Times New Roman" w:hAnsi="Times New Roman" w:cs="Times New Roman"/>
          <w:sz w:val="24"/>
          <w:szCs w:val="24"/>
        </w:rPr>
        <w:instrText xml:space="preserve"> ADDIN ZOTERO_ITEM CSL_CITATION {"citationID":"QFW87gWJ","properties":{"formattedCitation":"[102,108]","plainCitation":"[102,108]","noteIndex":0},"citationItems":[{"id":29803,"uris":["http://zotero.org/groups/4983756/items/C3CD6Y9N"],"itemData":{"id":29803,"type":"article-journal","abstract":"Many initiatives encourage investigators to share their raw datasets in hopes of increasing research efficiency and quality. Despite these investments of time and money, we do not have a firm grasp of who openly shares raw research data, who doesn't, and which initiatives are correlated with high rates of data sharing. In this analysis I use bibliometric methods to identify patterns in the frequency with which investigators openly archive their raw gene expression microarray datasets after study publication. Automated methods identified 11,603 articles published between 2000 and 2009 that describe the creation of gene expression microarray data. Associated datasets in best-practice repositories were found for 25% of these articles, increasing from less than 5% in 2001 to 30%-35% in 2007-2009. Accounting for sensitivity of the automated methods, approximately 45% of recent gene expression studies made their data publicly available. First-order factor analysis on 124 diverse bibliometric attributes of the data creation articles revealed 15 factors describing authorship, funding, institution, publication, and domain environments. In multivariate regression, authors were most likely to share data if they had prior experience sharing or reusing data, if their study was published in an open access journal or a journal with a relatively strong data sharing policy, or if the study was funded by a large number of NIH grants. Authors of studies on cancer and human subjects were least likely to make their datasets available. These results suggest research data sharing levels are still low and increasing only slowly, and data is least available in areas where it could make the biggest impact. Let's learn from those with high rates of sharing to embrace the full potential of our research output.","container-title":"PLoS ONE [Electronic Resource]","DOI":"10.1371/journal.pone.0018657","ISSN":"1932-6203","issue":"7","page":"e18657","title":"Who shares? Who doesn't? Factors associated with openly archiving raw research data","volume":"6","author":[{"literal":"Piwowar H A"}],"issued":{"date-parts":[["2011"]]}}},{"id":29688,"uris":["http://zotero.org/groups/4983756/items/9G6ULCKP"],"itemData":{"id":29688,"type":"article-journal","container-title":"JAMA Network Open","DOI":"10.1001/jamanetworkopen.2023.25342","ISSN":"2574-3805","issue":"7","page":"e2325342","title":"Data Sharing for Pediatric Clinical Trials Funded by the US National Institutes of Health","volume":"6","author":[{"literal":"Narang C"},{"literal":"Ouvina M"},{"literal":"Rees C A"},{"literal":"Bourgeois F T"}],"issued":{"date-parts":[["2023"]]}}}],"schema":"https://github.com/citation-style-language/schema/raw/master/csl-citation.json"} </w:instrText>
      </w:r>
      <w:r w:rsidR="66F7D53D" w:rsidRPr="008C17AC">
        <w:rPr>
          <w:rFonts w:ascii="Times New Roman" w:eastAsia="Times New Roman" w:hAnsi="Times New Roman" w:cs="Times New Roman"/>
          <w:sz w:val="24"/>
          <w:szCs w:val="24"/>
        </w:rPr>
        <w:fldChar w:fldCharType="separate"/>
      </w:r>
      <w:r w:rsidR="7A3DCF76" w:rsidRPr="008C17AC">
        <w:rPr>
          <w:rFonts w:ascii="Times New Roman" w:hAnsi="Times New Roman" w:cs="Times New Roman"/>
        </w:rPr>
        <w:t>[102,108]</w:t>
      </w:r>
      <w:r w:rsidR="66F7D53D" w:rsidRPr="008C17AC">
        <w:rPr>
          <w:rFonts w:ascii="Times New Roman" w:eastAsia="Times New Roman" w:hAnsi="Times New Roman" w:cs="Times New Roman"/>
          <w:sz w:val="24"/>
          <w:szCs w:val="24"/>
        </w:rPr>
        <w:fldChar w:fldCharType="end"/>
      </w:r>
      <w:r w:rsidR="1EA95AFE" w:rsidRPr="008C17AC">
        <w:rPr>
          <w:rFonts w:ascii="Times New Roman" w:eastAsia="Times New Roman" w:hAnsi="Times New Roman" w:cs="Times New Roman"/>
        </w:rPr>
        <w:t xml:space="preserve">. </w:t>
      </w:r>
      <w:r w:rsidR="0A621B39" w:rsidRPr="008C17AC">
        <w:rPr>
          <w:rFonts w:ascii="Times New Roman" w:eastAsia="Times New Roman" w:hAnsi="Times New Roman" w:cs="Times New Roman"/>
        </w:rPr>
        <w:t>O</w:t>
      </w:r>
      <w:r w:rsidRPr="008C17AC">
        <w:rPr>
          <w:rFonts w:ascii="Times New Roman" w:eastAsia="Times New Roman" w:hAnsi="Times New Roman" w:cs="Times New Roman"/>
        </w:rPr>
        <w:t xml:space="preserve">ne </w:t>
      </w:r>
      <w:r w:rsidR="4BD78F84" w:rsidRPr="008C17AC">
        <w:rPr>
          <w:rFonts w:ascii="Times New Roman" w:eastAsia="Times New Roman" w:hAnsi="Times New Roman" w:cs="Times New Roman"/>
        </w:rPr>
        <w:t xml:space="preserve">study investigated the effect of the </w:t>
      </w:r>
      <w:r w:rsidR="3F8FD94B" w:rsidRPr="008C17AC">
        <w:rPr>
          <w:rFonts w:ascii="Times New Roman" w:eastAsia="Times New Roman" w:hAnsi="Times New Roman" w:cs="Times New Roman"/>
        </w:rPr>
        <w:t xml:space="preserve">US </w:t>
      </w:r>
      <w:r w:rsidR="7231762D" w:rsidRPr="008C17AC">
        <w:rPr>
          <w:rFonts w:ascii="Times New Roman" w:eastAsia="Times New Roman" w:hAnsi="Times New Roman" w:cs="Times New Roman"/>
        </w:rPr>
        <w:t>Government</w:t>
      </w:r>
      <w:r w:rsidR="010D3EFE" w:rsidRPr="008C17AC">
        <w:rPr>
          <w:rFonts w:ascii="Times New Roman" w:eastAsia="Times New Roman" w:hAnsi="Times New Roman" w:cs="Times New Roman"/>
        </w:rPr>
        <w:t>'s trial registration policy</w:t>
      </w:r>
      <w:r w:rsidR="6CA72208" w:rsidRPr="008C17AC">
        <w:rPr>
          <w:rFonts w:ascii="Times New Roman" w:eastAsia="Times New Roman" w:hAnsi="Times New Roman" w:cs="Times New Roman"/>
        </w:rPr>
        <w:t xml:space="preserve"> </w:t>
      </w:r>
      <w:r w:rsidR="66F7D53D" w:rsidRPr="008C17AC">
        <w:rPr>
          <w:rFonts w:ascii="Times New Roman" w:eastAsia="Times New Roman" w:hAnsi="Times New Roman" w:cs="Times New Roman"/>
        </w:rPr>
        <w:fldChar w:fldCharType="begin"/>
      </w:r>
      <w:r w:rsidR="66F7D53D" w:rsidRPr="008C17AC">
        <w:rPr>
          <w:rFonts w:ascii="Times New Roman" w:eastAsia="Times New Roman" w:hAnsi="Times New Roman" w:cs="Times New Roman"/>
        </w:rPr>
        <w:instrText xml:space="preserve"> ADDIN ZOTERO_ITEM CSL_CITATION {"citationID":"8sth7yyR","properties":{"formattedCitation":"[97]","plainCitation":"[97]","noteIndex":0},"citationItems":[{"id":29715,"uris":["http://zotero.org/groups/4983756/items/47F3JQN5"],"itemData":{"id":29715,"type":"article-journal","abstract":"The relationship between clinical research and the pharmaceutical industry has placed clinical trials in jeopardy. According to the medical literature, more than 70% of clinical trials are industry-funded. Many of these trials remain unpublished or have methodological flaws that distort their results. In 2007, it was signed into law the Food and Drug Administration Amendments Act (FDAAA), aiming to provide publicly access to a broad range of biomedical information to be made available on the platform ClinicalTrials (available at https://www.clinicaltrials.gov). We accessed ClinicalTrials.gov and evaluated the compliance of researchers and sponsors with the FDAAA. Our sample comprised 243 protocols of clinical trials of biological monoclonal antibodies (mAb) adalimumab, bevacizumab, infliximab, rituximab, and trastuzumab. We demonstrate that the new legislation has positively affected transparency patterns in clinical research, through a significant increase in publication and online reporting rates after the enactment of the law. Poorly designed trials, however, remain a challenge to be overcome, due to a high prevalence of methodological flaws. These flaws affect the quality of clinical information available, breaching ethical duties of sponsors and researchers, as well as the human right to health.","DOI":"10.7717/peerj.1015","ISSN":"2167-8359","page":"e1015","title":"FDAAA legislation is working, but methodological flaws undermine the reliability of clinical trials: a cross-sectional study","volume":"1","author":[{"literal":"Marin Dos Santos"},{"literal":"D H"},{"literal":"Atallah A N"}],"issued":{"date-parts":[["2015"]]}}}],"schema":"https://github.com/citation-style-language/schema/raw/master/csl-citation.json"} </w:instrText>
      </w:r>
      <w:r w:rsidR="66F7D53D" w:rsidRPr="008C17AC">
        <w:rPr>
          <w:rFonts w:ascii="Times New Roman" w:eastAsia="Times New Roman" w:hAnsi="Times New Roman" w:cs="Times New Roman"/>
        </w:rPr>
        <w:fldChar w:fldCharType="separate"/>
      </w:r>
      <w:r w:rsidR="6CA72208" w:rsidRPr="008C17AC">
        <w:rPr>
          <w:rFonts w:ascii="Times New Roman" w:hAnsi="Times New Roman" w:cs="Times New Roman"/>
        </w:rPr>
        <w:t>[97]</w:t>
      </w:r>
      <w:r w:rsidR="66F7D53D" w:rsidRPr="008C17AC">
        <w:rPr>
          <w:rFonts w:ascii="Times New Roman" w:eastAsia="Times New Roman" w:hAnsi="Times New Roman" w:cs="Times New Roman"/>
        </w:rPr>
        <w:fldChar w:fldCharType="end"/>
      </w:r>
      <w:r w:rsidRPr="008C17AC">
        <w:rPr>
          <w:rFonts w:ascii="Times New Roman" w:eastAsia="Times New Roman" w:hAnsi="Times New Roman" w:cs="Times New Roman"/>
        </w:rPr>
        <w:t>.</w:t>
      </w:r>
    </w:p>
    <w:p w14:paraId="3DA8AC9C" w14:textId="53191EAD" w:rsidR="7741552D" w:rsidRPr="008C17AC" w:rsidRDefault="7A400CFB" w:rsidP="23EF21E2">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u w:val="single"/>
        </w:rPr>
        <w:t>Reporting guidelines</w:t>
      </w:r>
      <w:r w:rsidR="4D644EF5" w:rsidRPr="008C17AC">
        <w:rPr>
          <w:rFonts w:ascii="Times New Roman" w:eastAsia="Times New Roman" w:hAnsi="Times New Roman" w:cs="Times New Roman"/>
          <w:u w:val="single"/>
        </w:rPr>
        <w:t xml:space="preserve"> (n=15)</w:t>
      </w:r>
      <w:r w:rsidRPr="008C17AC">
        <w:rPr>
          <w:rFonts w:ascii="Times New Roman" w:eastAsia="Times New Roman" w:hAnsi="Times New Roman" w:cs="Times New Roman"/>
        </w:rPr>
        <w:t>: Fifteen studies evaluated the effect of reporting guidelines in general</w:t>
      </w:r>
      <w:r w:rsidR="003355E3" w:rsidRPr="008C17AC">
        <w:rPr>
          <w:rFonts w:ascii="Times New Roman" w:eastAsia="Times New Roman" w:hAnsi="Times New Roman" w:cs="Times New Roman"/>
        </w:rPr>
        <w:t xml:space="preserve"> </w:t>
      </w:r>
      <w:r w:rsidR="22E02BF1" w:rsidRPr="008C17AC">
        <w:rPr>
          <w:rFonts w:ascii="Times New Roman" w:eastAsia="Times New Roman" w:hAnsi="Times New Roman" w:cs="Times New Roman"/>
        </w:rPr>
        <w:fldChar w:fldCharType="begin"/>
      </w:r>
      <w:r w:rsidR="22E02BF1" w:rsidRPr="008C17AC">
        <w:rPr>
          <w:rFonts w:ascii="Times New Roman" w:eastAsia="Times New Roman" w:hAnsi="Times New Roman" w:cs="Times New Roman"/>
        </w:rPr>
        <w:instrText xml:space="preserve"> ADDIN ZOTERO_ITEM CSL_CITATION {"citationID":"o7UuUtv7","properties":{"formattedCitation":"[48,59,60,62,63,70,72,88,94,100,104,107,115,130,131]","plainCitation":"[48,59,60,62,63,70,72,88,94,100,104,107,115,130,131]","noteIndex":0},"citationItems":[{"id":29729,"uris":["http://zotero.org/groups/4983756/items/B2KKF53Q"],"itemData":{"id":29729,"type":"article-journal","abstract":"INTRODUCTION: The PROCESS guideline was developed in 2016 through expert Delphi consensus. It aimed to improve the quality of reporting of surgical case series. This study assessed the impact of the introduction of the PROCESS guideline on reporting for surgical case series submitted to three journals. METHODS: 20 case series published in the International Journal of Surgery Case Reports (IJSCR), the International Journal of Surgery (IJS) or the Annals of Medicine and Surgery (AMS) in September to December 2016, prior to the introduction of the PROCESS guideline (the pre-PROCESS period), were randomly identified and scored against the PROCESS criteria. Two authors independently scored each article a total score out of 29, the 'PROCESS score' (expressed as a percentage). Scores for the two researchers were compared and consensus was reached to achieve a final score set. The process was repeated for the January 2017 to April 2017 issues of the three journals, post PROCESS implementation (the post-PROCESS period). RESULTS: The mean PROCESS score was 80% (range 66-90%) for the pre-PROCESS period and 84% (range 72-95%) for the post-PROCESS period, a 4% relative increase [STATS]. The Cohen's Kappa score between researchers was 0.907 implying very substantial agreement. CONCLUSION: Implementation of the PROCESS guideline resulted in a 5% improvement in the reporting quality of surgical case series published in three journals. Further research is needed to identify and successfully navigate existing barriers to greater compliance. Authors, reviewers and editors should adhere to the guidelines to boost reporting quality. Journals should develop their policies and guide for authors to incorporate the guideline and mandate compliance.","container-title":"International Journal Of Surgery","DOI":"10.1016/j.ijsu.2017.07.079","ISSN":"1743-9159","page":"92-97","title":"Impact of the PROCESS guideline on the reporting of surgical case series: A before and after study","volume":"45","author":[{"literal":"Agha R A"},{"literal":"Borrelli M R"},{"literal":"Farwana R"},{"literal":"Kusu-Orkar T"},{"literal":"Millip M C"},{"literal":"Thavayogan R"},{"literal":"Garner J"},{"literal":"Darhouse N"},{"literal":"Orgill D P"}],"issued":{"date-parts":[["2017"]]}}},{"id":29721,"uris":["http://zotero.org/groups/4983756/items/5YLZNVLF"],"itemData":{"id":29721,"type":"article-journal","abstract":"Background and objective: Randomised controlled trial (RCT) abstracts published in journal articles have traditionally been deficient of crucial information. To improve the quality of RCT abstracts, in January 2008, the Consolidated Standards of Reporting Trial (CONSORT) group published a checklist of essential information for inclusion. The current study assessed whether there has been an improvement in the quality of RCT abstracts published in main anaesthesia journals since this new guideline was introduced. Method(s): Articles involving human RCTs published in four highprofile anaesthesia journals (Anaesthesia, Anesthesia &amp; Analgesia, Anesthesiology and the European Journal of Anaesthesiology) were reviewed, comparing those published from October 2005 to September 2006 (pre-CONSORT abstracts) with those published from October 2008 to September 2009 (post-CONSORT abstracts). Trials involving healthy volunteers or cadavers, cost-effectiveness studies, meta-analyses and letters were excluded. Abstracts from remaining RCTs were randomly assigned to four reviewers in a blinded fashion and reviewed for content using the new CONSORT checklist. Result(s): In total, 527 RCT abstracts (pre-CONSORT RCTs, n=275 and post-CONSORT RCTs, n=252) were analysed. The majority of abstracts in both groups provided an appropriate description of study interventions (73.1 and 73.8%, pre-CONSORT abstracts versus post-CONSORT abstracts, respectively), objective (91.3 and 90.1%) and conclusions (72.4 and 66.3%). From pre-CONSORT to post-CONSORT guidelines for abstract reporting, there were significant improvements in correctly identifying blinding (18.2-29%) and harmful effects (31.6-42.1%). The improvement in reporting the nature of the trial in abstract titles (20.1-29%) and primary outcome measure in the methods section (22.9-30.6%) did not reach significance. There was no clear improvement in the already poor reporting of trial design, participants, randomisation, recruitment, outcomes, trial registration and funding sources. Conclusion(s): Despite some promising improvements and interjournal differences, the overall quality of RCT abstracts and adherence to the CONSORT checklist for abstracts remains poor. © 2011 European Society of Anaesthesiology.","container-title":"European Journal of Anaesthesiology","DOI":"10.1097/eja.0b013e32833fb96f","ISSN":"0265-0215 1365-2346","page":"485-492","title":"Has the quality of abstracts for randomised controlled trials improved since the release of Consolidated Standards of Reporting Trial guideline for abstract reporting? A survey of four high-profile anaesthesia journals","volume":"28(7)","author":[{"literal":"Can O S"},{"literal":"Yilmaz A A"},{"literal":"Hasdogan M"},{"literal":"Alkaya F"},{"literal":"Turhan S C"},{"literal":"Can M F"},{"literal":"Alanoglu Z"}],"issued":{"date-parts":[["2011"]]}}},{"id":29643,"uris":["http://zotero.org/groups/4983756/items/JHK75BT3"],"itemData":{"id":29643,"type":"article-journal","abstract":"OBJECTIVES: To determine the prevalence of reporting guideline endorsement in pathology journals and to estimate the impact of guideline endorsement. METHODS: We compared the quality of reporting in two sets of studies: (1) studies published in journals that explicitly mentioned a guideline vs studies published in journals that did not and (2) studies that cited a guideline vs studies that did not. The quality of reporting in prognostic biomarker studies was assessed using the REporting recommendations for tumor MARKer prognostic studies (REMARK) guideline. RESULTS: We found that six (10%) of the 59 leading pathology journals explicitly mention reporting guidelines in the instructions to authors. Only one journal required authors to submit a checklist. There was significant variation in the rate at which various REMARK items were reported (P &lt; .001). Journal endorsement was associated with more complete reporting (P = .04). Studies that cited REMARK had greater adherence to the REMARK reporting guidelines than studies that did not (P = .02). CONCLUSIONS: The prevalence of guideline endorsement is relatively low in pathology journals, but guideline endorsement may improve the quality of reporting.","container-title":"American Journal of Clinical Pathology","DOI":"10.1093/ajcp/aqx080","ISSN":"1943-7722","issue":"4","page":"314-322","title":"A Survey of the Prevalence and Impact of Reporting Guideline Endorsement in Pathology Journals","volume":"148","author":[{"literal":"Caron J E"},{"literal":"March J K"},{"literal":"Cohen M B"},{"literal":"Schmidt R L"}],"issued":{"date-parts":[["2017"]]}}},{"id":29781,"uris":["http://zotero.org/groups/4983756/items/XAKY4JEP"],"itemData":{"id":29781,"type":"article-journal","abstract":"BACKGROUND: Abstracts are intended to be concise summaries of the entire randomised clinical trial (RCT). Despite their importance, few studies have examined the reporting quality of abstracts in the anaesthesiology literature. OBJECTIVES: To examine the quality of RCT abstract reporting according to the CONSORT for Abstracts guidelines and determine whether recommended items omitted from the abstract were present in the body of the article. DESIGN: A cross-sectional study of RCTs. SETTING: This study was performed at the University of Western Ontario and University Hospital, London Health Sciences Centre. PARTICIPANTS: All RCTs meeting inclusion criteria that were published in 2010 or 2016 in six general anaesthesiology journals (Anaesthesia, Anesthesia &amp; Analgesia, Anesthesiology, British Journal of Anaesthesia, Canadian Journal of Anesthesia and European Journal of Anaesthesiology). MAIN OUTCOME MEASURES: The 16 checklist items from the CONSORT for Abstracts statement were used to create a convenience score as a proxy for RCT abstract reporting quality, with each criterion measured as being reported in abstract, not reported in abstract but reported in full-text article, or not reported in abstract or full-text article. RESULTS: Of the 395 RCTs identified, 219 were published in 2010 and 176 were published in 2016. Out of the maximum possible score of 16, the median abstract score increased from 4 points [interquartile range (IQR): 3 to 5] in 2010 to 6 points [IQR: 5 to 8] in 2016. Although most checklist items showed improvement from 2010 to 2016, around 75% of RCTs in 2016 met fewer than half of the 16 items with no RCTs reporting all 16 items in the abstract. A majority of the RCTs had the information present in the full-text. In 2016, only 71 out of 176 (40%) of RCTs reported outcomes conforming to the CONSORT guidelines (with an effect size and a confidence interval around the effect size) in the Abstract. CONCLUSION: Abstracts for many anaesthesiology RCTs are incomplete selective summaries of the entire article.","container-title":"European Journal of Anaesthesiology","DOI":"10.1097/eja.0000000000000880","ISSN":"1365-2346","page":"942-948","title":"The degree of adherence to CONSORT reporting guidelines for the abstracts of randomised clinical trials published in anaesthesia journals: A cross-sectional study of reporting adherence in 2010 and 2016","author":[{"literal":"Chow J T. Y"},{"literal":"Turkstra T P"},{"literal":"Yim E"},{"literal":"Jones P M"}],"issued":{"date-parts":[["2018"]]}}},{"id":29747,"uris":["http://zotero.org/groups/4983756/items/59UAV68D"],"itemData":{"id":29747,"type":"article-journal","abstract":"Methodological reporting guidelines for studies of ERPs were updated in Psychophysiology in 2014. These guidelines facilitate the communication of key methodological parameters (e.g., preprocessing steps). Failing to report key parameters represents a barrier to replication efforts, and difficulty with replicability increases in the presence of small sample sizes and low statistical power. We assessed whether guidelines are followed and estimated the average sample size and power in recent research. Reporting behavior, sample sizes, and statistical designs were coded for 150 randomly sampled articles from five high-impact journals that frequently published ERP research from 2011 to 2017. An average of 63% of guidelines were reported, and reporting behavior was similar across journals, suggesting that gaps in reporting is a shortcoming of the field rather than any specific journal. Publication of the guidelines article had no impact on reporting behavior, suggesting that editors and peer reviewers are not enforcing these recommendations. The average sample size per group was 21. Statistical power was conservatively estimated as .72-.98 for a large effect size, .35-.73 for a medium effect, and .10-.18 for a small effect. These findings indicate that failing to report key guidelines is ubiquitous and that ERP studies are primarily powered to detect large effects. Such low power and insufficient following of reporting guidelines represent substantial barriers to replication efforts. The methodological transparency and replicability of studies can be improved by the open sharing of processing code and experimental tasks and by a priori sample size calculations to ensure adequately powered studies.","container-title":"Psychophysiology","DOI":"10.1111/psyp.13437","ISSN":"1540-5958","issue":"11","page":"e13437","title":"Methodological reporting behavior, sample sizes, and statistical power in studies of event-related potentials: Barriers to reproducibility and replicability","volume":"56","author":[{"literal":"Clayson P E"},{"literal":"Carbine K A"},{"literal":"Baldwin S A"},{"literal":"Larson M J"}],"issued":{"date-parts":[["2019"]]}}},{"id":29749,"uris":["http://zotero.org/groups/4983756/items/UEIESEJ4"],"itemData":{"id":29749,"type":"article-journal","abstract":"OBJECTIVES: The amyotrophic lateral sclerosis (ALS) research community was one of the first to adopt methodology guidelines to improve preclinical research reproducibility. We here present the results of a systematic review to investigate how the standards in this field changed over the 10-year period during which the guidelines were first published (2007) and updated (2010). METHODS: We searched for papers reporting ALS research on SOD1 (superoxide dismutase 1) mice published between 2005 and 2015 on the ISI Web of Science database, resulting in a sample of 569 papers to review, after triage. Two scores-one for methodological quality, one for regulatory compliance-were built from weighted sums of separate sets of items, and subjected to multivariable regression analysis, to assess how these related to publication year, type of study, country of origin and journal. RESULTS: Reporting standards improved over time. Of papers published after the first ALS guidelines were made public, fewer than 9% referred specifically to these. Of key research parameters, only three (genetic background, number of transgenes and group size) were reported in &gt;50% of the papers. Information on housing conditions, randomisation and blinding was absent in over two-thirds of the papers. Group size was among the best reported parameters, but the majority reported using fewer than the recommended sample size and only two studies clearly justified group size. CONCLUSIONS: General methodological standards improved gradually over a period of 8-10 years, but remained generally comparable with related fields with no specific guidelines, except with regard to severity. Only 11% of ALS studies were classified in the highest severity level (animals allowed to reach death or moribund stages), substantially below the proportion in studies of comparable neurodegenerative diseases such as Huntington's. The existence of field-specific guidelines, although a welcome indication of concern, seems insufficient to ensure adherence to high methodological standards. Other mechanisms may be required to improve methodological and welfare standards.","container-title":"BMJ Open Science","DOI":"10.1136/bmjos-2018-000016","ISSN":"2398-8703","issue":"1","page":"e000016","title":"Methodological standards, quality of reporting and regulatory compliance in animal research on amyotrophic lateral sclerosis: a systematic review","volume":"3","author":[{"literal":"Fernandes J G"},{"literal":"Franco N H"},{"literal":"Grierson A J"},{"literal":"Hultgren J"},{"literal":"Furley A J. W"},{"literal":"Olsson I A. S"}],"issued":{"date-parts":[["2019"]]}}},{"id":29731,"uris":["http://zotero.org/groups/4983756/items/MPKI2HWP"],"itemData":{"id":29731,"type":"article-journal","abstract":"Objectives. We assessed how the Transparent Reporting of Evaluations with Nonrandomized Designs (TREND) reporting guideline was used by authors and journal editors in journals' instructions to authors. We also evaluated its impact on reporting completeness and study quality. Methods. We extracted data from publications that cited TREND on how TREND was used in those reports; we also extracted information on journals' instructions to authors. We then undertook a case-control study of relevant publications to evaluate the impact of using TREND. Results. Between 2004 and 2013, TREND was cited 412 times, but it was only evidently applied to study reports 47 times. TREND was specifically mentioned 14 times in the sample of 61 instructions to authors. Some evidence suggested that use of TREND was associated with more comprehensive reporting and higher study quality ratings. Conclusions. TREND appeared to be underutilized by authors and journal editors despite its potential application and benefits. We found evidence that suggested that using TREND could contribute to more transparent and complete study reports. Even when authors reported using TREND, reporting completeness was still suboptimal. © 2014, American Public Health Association Inc. All rights reserved.","container-title":"American Journal of Public Health","DOI":"10.2105/ajph.2014.302195","ISSN":"00900036 (ISSN)","issue":"11","page":"e110-e117","title":"Impact of the transparent reporting of evaluations with nonrandomized designs reporting guideline: Ten years on","volume":"104","author":[{"literal":"Fuller T"},{"literal":"Peters J"},{"literal":"Pearson M"},{"literal":"Anderson R"}],"issued":{"date-parts":[["2014"]]}}},{"id":29783,"uris":["http://zotero.org/groups/4983756/items/R7I5CAYC"],"itemData":{"id":29783,"type":"article-journal","abstract":"Background: The SQUIRE (Standards of QUality Improvement Reporting Excellence) guidelines were developed to improve the reporting of quality improvement (QI) projects. The effect of the guidelines on the completeness of reporting in the QI literature is unknown. Objective(s): Our primary objective was to determine if the completeness of reporting in the QI literature has been improved[OUP-CE13] since the introduction of the SQUIRE guidelines. Method(s): We performed a before-and-after evaluation of QI articles selected from four prominent journals of healthcare quality. Twentyfive articles published in each of two time periods (2006-2008 and 2010-2011) were confirmed to be QI projects using a standardised definition and were independently evaluated by two investigators as an interim evaluation of a planned larger sample. Articles were assessed using 50 statements of the SQUIRE guidelines, and the overall change in the completeness of reporting between the two groups was determined. The value of p&lt;0.05 was considered significant. Result(s): Both groups were similar in characteristics. There was no significant difference in the mean (SD) number of SQUIRE statements completed by authors before and after publication of the SQUIRE guidelines, 20.2 (5.0) versus 20.4 (7.0), p=0.9. The study was stopped early due to the absence of any significant trend in the completeness of reporting. Discussion(s): There was no overall improvement observed in the completeness of reporting of QI projects after the publication of the SQUIRE guidelines, and the study was stopped early. There is potential for improvement in reporting standards, particularly for those guideline items or statements specific to QI projects.","container-title":"BMJ Quality and Safety","DOI":"10.1136/bmjqs-2014-003737","ISSN":"2044-5415","page":"400-406","title":"The effect of the SQUIRE (Standards of QUality Improvement Reporting Excellence) guidelines on reporting standards in the quality Improvement literature: A before-and-after study","volume":"24(6)","author":[{"literal":"Howell V"},{"literal":"Schwartz A E"},{"literal":"O'Leary J D"},{"literal":"McDonnell C"}],"issued":{"date-parts":[["2015"]]}}},{"id":29733,"uris":["http://zotero.org/groups/4983756/items/K4XP4RS8"],"itemData":{"id":29733,"type":"article-journal","abstract":"PURPOSE: Research papers involving animal studies often display poor reporting standards, leading to lower study reproducibility. We aim to determine the difference in reporting animal studies regarding abdominal wall hernia repair with mesh placement, before and after the publication of ARRIVE-2010 (Animal Research: Reporting of In Vivo Experiments) guidelines. Furthermore, we aim to present the most up-to-date reporting quality using the updated ARRIVE-2020 as criteria. METHODS: All animal studies concerning hernia repair with meshes were systematically searched. Articles published in the 5 years leading up to the ARRIVE-2010 (pre-ARRIVE) and articles within the last 5 years until the updated ARRIVE 2.0 (post-ARRIVE) were compared for overall species and specific species separately. Articles published last year were evaluated for presenting fully reported (sub)items. RESULTS: The number of fully reported (sub)items per article was on average significantly higher for pre-ARRIVE than post-ARRIVE for overall species (mean (SD) = 14.0 (2.8) vs. 12.6 (2.5), P &lt; 0.001). The same applies to rabbit (mean (SD) = 14.8 (2.6) vs. 12.6 (2.6), P = 0.001) and pig studies (mean (SD) = 14.5 (2.7) vs. 11.6 (2.6), P = 0.004), with no significance in rat studies (mean (SD) = 13.6 (2.9) vs. 12.9 (2.3), P = 0.076). Significance was found in several (sub)items between pre-ARRIVE and post-ARRIVE (n = 7, 3, 8, and 3 for overall species, rat, rabbit, and pig studies, respectively). CONCLUSION: General reporting quality of animal experiments has been improved markedly by ARRIVE guidelines. However, more improvements are required considering the arrival of ARRIVE 2.0 guidelines.","container-title":"Hernia","DOI":"10.1007/s10029-020-02351-y","ISSN":"1248-9204","issue":"2","page":"389-400","title":"Inadequate awareness of adherence to ARRIVE guidelines, regarding reporting quality of hernia models repaired with meshes: a systematic review","volume":"26","author":[{"literal":"Liu H"},{"literal":"Gielen Mjcam"},{"literal":"Bosmans Jwam"},{"literal":"Winkens B"},{"literal":"Bouvy N D"}],"issued":{"date-parts":[["2022"]]}}},{"id":29668,"uris":["http://zotero.org/groups/4983756/items/YNLBA3NU"],"itemData":{"id":29668,"type":"article-journal","abstract":"A substantial fraction of biomedical research depends on the reliability of human biospecimens but variations in sample manipulation during collection, processing, and storage can differentially alter molecular integrity and influence interpretation of the resulting derived data. Details of biobanking processes are rarely adequately described in research publications, preventing reviewers, readers, and scientists seeking to replicate the findings, from appreciating and adequately considering preanalytical variations contributing to results. To address these shortcomings, a set of reporting guidelines, the Biospecimen Reporting for Improved Study Quality (BRISQ) criteria, were developed in 2011. In this study we evaluated the uptake and reporting of BRISQ criteria in 324 articles across four leading biomedical journals using human biospecimens and published before (161; in 2010) and after (163; in 2014) the delineation of the BRISQ guidelines. We found that even within journals recommending use of BRISQ, manuscript-level uptake. and reporting of the relevant biospecimen information is not widespread or uniform. In the future, an enhanced biospecimen reporting strategy to better serve the needs of researchers, reviewers, and journals may be considered to strengthen research reproducibility for the benefit of the research community at large.","container-title":"Biopreservation and Biobanking","DOI":"10.1089/bio.2018.0143","ISSN":"1947-5543","issue":"4","page":"326-333","title":"Biospecimen Data Reporting in the Research Literature","volume":"17","author":[{"literal":"Meredith A J"},{"literal":"Simeon-Dubach D"},{"literal":"Matzke L A"},{"literal":"Cheah S"},{"literal":"Watson P H"}],"issued":{"date-parts":[["2019"]]}}},{"id":29672,"uris":["http://zotero.org/groups/4983756/items/J8B7PAMC"],"itemData":{"id":29672,"type":"article-journal","abstract":"Objectives: To examine changes in completeness of reporting and frequency of sharing data, analytical code, and other review materials in systematic reviews over time; and factors associated with these changes. Design: Cross sectional meta-research study. Population: Random sample of 300 systematic reviews with meta-analysis of aggregate data on the effects of a health, social, behavioural, or educational intervention. Reviews were indexed in PubMed, Science Citation Index, Social Sciences Citation Index, Scopus, and Education Collection in November 2020. Main outcome measures: The extent of complete reporting and the frequency of sharing review materials in the systematic reviews indexed in 2020 were compared with 110 systematic reviews indexed in February 2014. Associations between completeness of reporting and various factors (eg, self-reported use of reporting guidelines, journal policies on data sharing) were examined by calculating risk ratios and 95% confidence intervals. Results: Several items were reported suboptimally among 300 systematic reviews from 2020, such as a registration record for the review (n=113; 38%), a full search strategy for at least one database (n=214; 71%), methods used to assess risk of bias (n=185; 62%), methods used to prepare data for meta-analysis (n=101; 34%), and source of funding for the review (n=215; 72%). Only a few items not already reported at a high frequency in 2014 were reported more frequently in 2020. No evidence indicated that reviews using a reporting guideline were more completely reported than reviews not using a guideline. Reviews published in 2020 in journals that mandated either data sharing or inclusion of data availability statements were more likely to share their review materials (eg, data, code files) than reviews in journals without such mandates (16/87 (18%) v 4/213 (2%)). Conclusion: Incomplete reporting of several recommended items for systematic reviews persists, even in reviews that claim to have followed a reporting guideline. Journal policies on data sharing might encourage sharing of review materials. © 2022 Author(s). Published by BMJ.","container-title":"BMJ","DOI":"10.1136/bmj-2022-072428","ISSN":"09598146 (ISSN)","page":"e072428","title":"Changing patterns in reporting and sharing of review data in systematic reviews with meta-analysis of the effects of interventions: Cross sectional meta-research study","author":[{"literal":"Nguyen P Y"},{"literal":"Kanukula R"},{"literal":"McKenzie J E"},{"literal":"Alqaidoom Z"},{"literal":"Brennan S E"},{"literal":"Haddaway N R"},{"literal":"Hamilton D G"},{"literal":"Karunananthan S"},{"literal":"McDonald S"},{"literal":"Moher D"},{"literal":"Nakagawa S"},{"literal":"Nunan D"},{"literal":"Tugwell P"},{"literal":"Welch V A"},{"literal":"Page M J"}],"issued":{"date-parts":[["2022"]]}}},{"id":29739,"uris":["http://zotero.org/groups/4983756/items/8KMMHIEL"],"itemData":{"id":29739,"type":"article-journal","abstract":"BACKGROUND: Randomised controlled trials (RCTs) provide the highest-level of evidence among primary research in cardiovascular medicine. Yet, even the best trial may be less useful if it fails to provide an accurate means of reproducibility. Unfortunately, discrepancies in the standards of trial reporting have been persistent in previous trials. The Template for Intervention Description and Replication (TIDieR) checklist aims to improve research efficacy by setting standards for quality intervention reporting and reproducibility. The goal of this study was to assess adherence to the TIDieR checklist among RCTs published in cardiovascular health journals. We also compared the quality of intervention reporting before and after the publication of TIDieR. METHODS: This cross-sectional, methodological study analysed 101 trials published within high-impact cardiology journals. Our primary objective was to assess overall adherence to the TIDieR checklist. Our secondary objective was to use an interrupted time-series analysis to determine if intervention reporting increased following the publication of TIDieR in March 2014. Additionally, we used generalised estimating equations to identify trial characteristics associated with intervention reporting. RESULTS: Trials in our sample reported 8.6/12 TIDieR checklist items, on average. The most under-reported items were those for describing the expertise of the interventionists and for describing the location of the intervention. CONCLUSION: Improved outcome reporting and intervention reproducibility among RCTs are greatly needed in cardiovascular medicine. Clinicians and researchers should advocate for the ethical publication of complete, translatable and replicable clinical research results.","container-title":"BMJ Evidence-based Medicine","DOI":"10.1136/bmjebm-2019-111309","ISSN":"2515-4478","issue":"3","page":"91-97","title":"Intervention reporting of clinical trials published in high-impact cardiology journals: effect of the TIDieR checklist and guide","volume":"26","author":[{"literal":"Palmer W"},{"literal":"Okonya O"},{"literal":"Jellison S"},{"literal":"Horn J"},{"literal":"Harter Z"},{"literal":"Wilkett M"},{"literal":"Vassar M"}],"issued":{"date-parts":[["2021"]]}}},{"id":29678,"uris":["http://zotero.org/groups/4983756/items/DYARQ4ID"],"itemData":{"id":29678,"type":"article-journal","abstract":"BACKGROUND: We evaluated the completeness of reporting of diagnostic test accuracy (DTA) systematic reviews using the recently developed Preferred Reporting Items for Systematic Reviews and MetaAnalyses (PRISMA)-DTA guidelines. METHODS: MEDLINE&lt;sup&gt; R&lt;/sup&gt; was searched for DTA systematic reviews published October 2017 to January 2018. The search time span was modulated to reach the desired sample size of 100 systematic reviews. Reporting on a per-item basis using PRISMA-DTA was evaluated. RESULTS: One hundred reviews were included. Mean reported items were 18.6 of 26 (71%; SD = 1.9) for PRISMA-DTA and 5.5 of 11 (50%; SD = 1.2) for PRISMA-DTA for abstracts. Items in the results were frequently reported. Items related to protocol registration, characteristics of included studies, results synthesis, and definitions used in data extraction were infrequently reported. Infrequently reported items from PRISMA-DTA for abstracts included funding information, strengths and limitations, characteristics of included studies, and assessment of applicability. Reporting completeness was higher in higher impact factor journals (18.9 vs 18.1 items; P = 0.04), studies that cited PRISMA (18.9 vs 17.7 items; P = 0.003), or used supplementary material (19.1 vs 18.0 items; P = 0.004). Variability in reporting was associated with author country (P = 0.04) but not journal (P = 0.6), abstract word count limitations (P = 0.9), PRISMA adoption (P = 0.2), structured abstracts (P = 0.2), study design (P = 0.8), subspecialty area (P = 0.09), or index test (P = 0.5). Abstracts with a higher word count were more informative (R = 0.4; P &lt; 0.001). No association with word counts was observed for full-text reports (R = -0.03; P = 0.06). CONCLUSIONS: Recently published reports of DTA systematic reviews are not fully informative when evaluated against the PRISMA-DTA guidelines. These results should guide knowledge translation strategies, including journal level (e.g., PRISMA-DTA adoption, increased abstract word count, and use of supplementary material) and author level (PRISMA-DTA citation awareness) strategies.","container-title":"Clinical Chemistry","DOI":"10.1373/clinchem.2018.292987","ISSN":"1530-8561","issue":"2","page":"291-301","title":"Completeness of Reporting of Systematic Reviews of Diagnostic Test Accuracy Based on the PRISMA-DTA Reporting Guideline","volume":"65","author":[{"literal":"Salameh J P"},{"literal":"McInnes M D. F"},{"literal":"Moher D"},{"literal":"Thombs B D"},{"literal":"McGrath T A"},{"literal":"Frank R"},{"literal":"Dehmoobad Sharifabadi"},{"literal":"A"},{"literal":"Kraaijpoel N"},{"literal":"Levis B"},{"literal":"Bossuyt P M"}],"issued":{"date-parts":[["2019"]]}}},{"id":29656,"uris":["http://zotero.org/groups/4983756/items/LETLXS37"],"itemData":{"id":29656,"type":"article-journal","abstract":"Background/purpose: Properly designed randomized controlled trials (RCTs) are the gold standard in patient-centered clinical research. Incomplete intervention reporting affects the readers' ability to evaluate treatment efficacy. Previous studies show that detailed descriptions of trial interventions remains insufficient for reliable replication. Understanding reporting areas in need of improvement can improve the quality of intervention reporting. Methods: This cross-sectional review uses the Template for Intervention Description and Replication (TIDieR) checklist to evaluate the quality of intervention reporting in RCTs. The primary outcome was to investigate the completeness of intervention reporting of RCTs reporting outcomes for patients with alcohol use disorder (AUD) published in highly ranked addiction journals. The secondary outcomes were to: 1) evaluate whether publication of the TIDieR checklist resulted in better intervention reporting practices and 2) determine whether particular trial characteristics were associated with the completeness of intervention reporting. Results: The final analysis included 56 records. The mean number of reported TIDieR items was 5.1 (SD = 1.47) of a possible 12. TIDieR checklist publication did not increase the average completion of the TIDieR checklist items (p = 0.76). Improved TIDieR adherence was associated with trials with double blinding, non-drug interventions, and CONSORT endorsement. Discussion/conclusions: We found the reporting of interventions to be inadequate in our sample of AUD-related RCTs. Fundamental details were often not reported, hampering both clinical and research reproducibility. Moving forward, it may be necessary to consider additional mechanisms to either improve TIDieR uptake or to find other solutions to improve intervention reporting. © 2019 Elsevier B.V.","container-title":"Drug and Alcohol Dependence","DOI":"10.1016/j.drugalcdep.2019.107824","ISSN":"03768716 (ISSN)","page":"107824","title":"Assessment of the completeness of intervention reporting of randomized clinical trials for alcohol use disorders: Effect of the TIDieR checklist and guide","volume":"208","author":[{"literal":"Vassar M"},{"literal":"Pollard J"},{"literal":"Rorah D"},{"literal":"Jellison S"},{"literal":"Harter Z J"},{"literal":"Brasseux S"}],"issued":{"date-parts":[["2020"]]}}},{"id":29702,"uris":["http://zotero.org/groups/4983756/items/Z25DX3F6"],"itemData":{"id":29702,"type":"article-journal","abstract":"BACKGROUND: The Preferred Reporting Items for Systematic Reviews and Meta-Analyses (PRISMA) extension statement for network meta-analysis (NMA) published in 2015 promotes comprehensive reporting in published systematic reviews with NMA. PRISMA-NMA includes 32 items: 27 core items as indicated in the 2009 PRISMA Statement and five items specific to the reporting of NMAs. Although NMA reporting is improving, it is unclear whether PRISMA-NMA has accelerated this improvement. We aimed to investigate the impact of PRISMA-NMA and highlight key items that require attention and improvement. METHODS: We updated our previous collection of NMAs with articles published between April 2015 and July 2018. We assessed the completeness of reporting for each NMA, including main manuscript and online supplements, using the PRISMA-NMA checklist. The PRISMA-NMA checklist originally includes 32 total items (i.e. a 32-point scale original PRISMA-NMA score). We also prepared a modified version of the PRISMA-NMA checklist with 49 items to evaluate separately at a more granular level all multiple-content items (i.e. a 49-point scale modified PRISMA-NMA score). We compared average reporting scores of articles published until and after 2015. RESULTS: In the 1144 included NMAs the mean modified PRISMA-NMA score was 32.1 (95% CI 31.8-32.4) of a possible 49-excellence-score. For 1-year increase, the mean modified score increased by 0.96 (95% CI 0.32 to 1.59) for 389 NMAs published until 2015 and by 0.53 (95% CI 0.02 to 1.04) for 755 NMAs published after 2015. The mean modified PRISMA-NMA score for NMAs published after 2015 was higher by 0.81 (95% CI 0.23 to 1.39) compared to before 2015 when adjusting for journal impact factor, type of review, funding, and treatment category. Description of summary effect sizes to be used, presentation of individual study data, sources of funding for the systematic review, and role of funders dropped in frequency after 2015 by 6-16%. CONCLUSIONS: NMAs published after 2015 more frequently reported the five items associated with NMA compared to those published until 2015. However, improvement in reporting after 2015 is compatible with that observed on a yearly basis until 2015, and hence, it could not be attributed solely to the publication of the PRISMA-NMA.","container-title":"Systematic Reviews","DOI":"10.1186/s13643-021-01780-9","ISSN":"2046-4053","issue":"1","page":"246","title":"Do reporting guidelines have an impact? Empirical assessment of changes in reporting before and after the PRISMA extension statement for network meta-analysis","volume":"10","author":[{"literal":"Veroniki A A"},{"literal":"Tsokani S"},{"literal":"Zevgiti S"},{"literal":"Pagkalidou I"},{"literal":"Kontouli K M"},{"literal":"Ambarcioglu P"},{"literal":"Pandis N"},{"literal":"Lunny C"},{"literal":"Nikolakopoulou A"},{"literal":"Papakonstantinou T"},{"literal":"Chaimani A"},{"literal":"Straus S E"},{"literal":"Hutton B"},{"literal":"Tricco A C"},{"literal":"Mavridis D"},{"literal":"Salanti G"}],"issued":{"date-parts":[["2021"]]}}}],"schema":"https://github.com/citation-style-language/schema/raw/master/csl-citation.json"} </w:instrText>
      </w:r>
      <w:r w:rsidR="22E02BF1" w:rsidRPr="008C17AC">
        <w:rPr>
          <w:rFonts w:ascii="Times New Roman" w:eastAsia="Times New Roman" w:hAnsi="Times New Roman" w:cs="Times New Roman"/>
        </w:rPr>
        <w:fldChar w:fldCharType="separate"/>
      </w:r>
      <w:r w:rsidR="003355E3" w:rsidRPr="008C17AC">
        <w:rPr>
          <w:rFonts w:ascii="Times New Roman" w:hAnsi="Times New Roman" w:cs="Times New Roman"/>
        </w:rPr>
        <w:t>[48,59,60,62,63,70,72,88,94,100,104,107,115,130,131]</w:t>
      </w:r>
      <w:r w:rsidR="22E02BF1" w:rsidRPr="008C17AC">
        <w:rPr>
          <w:rFonts w:ascii="Times New Roman" w:eastAsia="Times New Roman" w:hAnsi="Times New Roman" w:cs="Times New Roman"/>
        </w:rPr>
        <w:fldChar w:fldCharType="end"/>
      </w:r>
      <w:r w:rsidRPr="008C17AC">
        <w:rPr>
          <w:rFonts w:ascii="Times New Roman" w:eastAsia="Times New Roman" w:hAnsi="Times New Roman" w:cs="Times New Roman"/>
        </w:rPr>
        <w:t>. The baseline for these studies was the publication of a certain reporting che</w:t>
      </w:r>
      <w:r w:rsidR="3C6467F2" w:rsidRPr="008C17AC">
        <w:rPr>
          <w:rFonts w:ascii="Times New Roman" w:eastAsia="Times New Roman" w:hAnsi="Times New Roman" w:cs="Times New Roman"/>
        </w:rPr>
        <w:t>c</w:t>
      </w:r>
      <w:r w:rsidRPr="008C17AC">
        <w:rPr>
          <w:rFonts w:ascii="Times New Roman" w:eastAsia="Times New Roman" w:hAnsi="Times New Roman" w:cs="Times New Roman"/>
        </w:rPr>
        <w:t>klist or guideline; and the design was either a pre-post design or a post-intervention on</w:t>
      </w:r>
      <w:r w:rsidR="5FD9A3F0" w:rsidRPr="008C17AC">
        <w:rPr>
          <w:rFonts w:ascii="Times New Roman" w:eastAsia="Times New Roman" w:hAnsi="Times New Roman" w:cs="Times New Roman"/>
        </w:rPr>
        <w:t>ly design.</w:t>
      </w:r>
    </w:p>
    <w:p w14:paraId="55475943" w14:textId="7ABFCDCE" w:rsidR="11041A0F" w:rsidRPr="008C17AC" w:rsidRDefault="54BEE357" w:rsidP="23EF21E2">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u w:val="single"/>
        </w:rPr>
        <w:lastRenderedPageBreak/>
        <w:t>Rewards and incentives (n=9)</w:t>
      </w:r>
      <w:r w:rsidRPr="008C17AC">
        <w:rPr>
          <w:rFonts w:ascii="Times New Roman" w:eastAsia="Times New Roman" w:hAnsi="Times New Roman" w:cs="Times New Roman"/>
        </w:rPr>
        <w:t>:</w:t>
      </w:r>
      <w:r w:rsidR="0B0C16F2" w:rsidRPr="008C17AC">
        <w:rPr>
          <w:rFonts w:ascii="Times New Roman" w:eastAsia="Times New Roman" w:hAnsi="Times New Roman" w:cs="Times New Roman"/>
        </w:rPr>
        <w:t xml:space="preserve"> Nine studies investigated the effect of badges</w:t>
      </w:r>
      <w:r w:rsidR="776ED5E6" w:rsidRPr="008C17AC">
        <w:rPr>
          <w:rFonts w:ascii="Times New Roman" w:eastAsia="Times New Roman" w:hAnsi="Times New Roman" w:cs="Times New Roman"/>
        </w:rPr>
        <w:t xml:space="preserve"> for open science or data sharing</w:t>
      </w:r>
      <w:r w:rsidR="009C5FF4" w:rsidRPr="008C17AC">
        <w:rPr>
          <w:rFonts w:ascii="Times New Roman" w:eastAsia="Times New Roman" w:hAnsi="Times New Roman" w:cs="Times New Roman"/>
        </w:rPr>
        <w:t xml:space="preserve"> </w:t>
      </w:r>
      <w:r w:rsidRPr="008C17AC">
        <w:rPr>
          <w:rFonts w:ascii="Times New Roman" w:eastAsia="Times New Roman" w:hAnsi="Times New Roman" w:cs="Times New Roman"/>
        </w:rPr>
        <w:fldChar w:fldCharType="begin"/>
      </w:r>
      <w:r w:rsidRPr="008C17AC">
        <w:rPr>
          <w:rFonts w:ascii="Times New Roman" w:eastAsia="Times New Roman" w:hAnsi="Times New Roman" w:cs="Times New Roman"/>
        </w:rPr>
        <w:instrText xml:space="preserve"> ADDIN ZOTERO_ITEM CSL_CITATION {"citationID":"898oqXaV","properties":{"formattedCitation":"[65,74,74,83,83,90,111,113]","plainCitation":"[65,74,74,83,83,90,111,113]","noteIndex":0},"citationItems":[{"id":29801,"uris":["http://zotero.org/groups/4983756/items/T2EZWLWC"],"itemData":{"id":29801,"type":"article-journal","abstract":"In April 2019, Psychological Science published its first issue in which all Research Articles received the Open Data badge. We used that issue to investigate the effectiveness of this badge, focusing on the adherence to its aim at Psychological Science: sharing both data and code to ensure reproducibility of results. Twelve researchers of varying experience levels attempted to reproduce the results of the empirical articles in the target issue (at least three researchers per article). We found that all 14 articles provided at least some data and six provided analysis code, but only one article was rated to be exactly reproducible, and three were rated as essentially reproducible with minor deviations. We suggest that researchers should be encouraged to adhere to the higher standard in force at Psychological Science. Moreover, a check of reproducibility during peer review may be preferable to the disclosure method of awarding badges. © The Author(s) 2023.","container-title":"Psychological Science","DOI":"10.1177/09567976221140828","ISSN":"09567976 (ISSN)","issue":"4","page":"512-522","title":"What’s in a Badge? A Computational Reproducibility Investigation of the Open Data Badge Policy in One Issue of Psychological Science","volume":"34","author":[{"literal":"Crüwell S"},{"literal":"Apthorp D"},{"literal":"Baker B J"},{"literal":"Colling L"},{"literal":"Elson M"},{"literal":"Geiger S J"},{"literal":"Lobentanzer S"},{"literal":"Monéger J"},{"literal":"Patterson A"},{"literal":"Schwarzkopf D S"},{"literal":"Zaneva M"},{"literal":"Brown N J. L"}],"issued":{"date-parts":[["2023"]]}}},{"id":29787,"uris":["http://zotero.org/groups/4983756/items/62NTD4RM"],"itemData":{"id":29787,"type":"article-journal","abstract":"From January 2014, Psychological Science introduced new submission guidelines that encouraged the use of effect sizes, estimation, and meta-analysis (the \"new statistics\"), required extra detail of methods, and offered badges for use of open science practices. We investigated the use of these practices in empirical articles published by Psychological Science and, for comparison, by the Journal of Experimental Psychology: General, during the period of January 2013 to December 2015. The use of null hypothesis significance testing (NHST) was extremely high at all times and in both journals. In Psychological Science, the use of confidence intervals increased markedly overall, from 28% of articles in 2013 to 70% in 2015, as did the availability of open data (3 to 39%) and open materials (7 to 31%). The other journal showed smaller or much smaller changes. Our findings suggest that journal-specific submission guidelines may encourage desirable changes in authors' practices.","container-title":"PLoS ONE [Electronic Resource]","DOI":"10.1371/journal.pone.0175583","ISSN":"1932-6203","issue":"4","page":"e0175583","title":"The influence of journal submission guidelines on authors' reporting of statistics and use of open research practices","volume":"12","author":[{"literal":"Giofre D"},{"literal":"Cumming G"},{"literal":"Fresc L"},{"literal":"Boedker I"},{"literal":"Tressoldi P"}],"issued":{"date-parts":[["2017"]]}}},{"id":29787,"uris":["http://zotero.org/groups/4983756/items/62NTD4RM"],"itemData":{"id":29787,"type":"article-journal","abstract":"From January 2014, Psychological Science introduced new submission guidelines that encouraged the use of effect sizes, estimation, and meta-analysis (the \"new statistics\"), required extra detail of methods, and offered badges for use of open science practices. We investigated the use of these practices in empirical articles published by Psychological Science and, for comparison, by the Journal of Experimental Psychology: General, during the period of January 2013 to December 2015. The use of null hypothesis significance testing (NHST) was extremely high at all times and in both journals. In Psychological Science, the use of confidence intervals increased markedly overall, from 28% of articles in 2013 to 70% in 2015, as did the availability of open data (3 to 39%) and open materials (7 to 31%). The other journal showed smaller or much smaller changes. Our findings suggest that journal-specific submission guidelines may encourage desirable changes in authors' practices.","container-title":"PLoS ONE [Electronic Resource]","DOI":"10.1371/journal.pone.0175583","ISSN":"1932-6203","issue":"4","page":"e0175583","title":"The influence of journal submission guidelines on authors' reporting of statistics and use of open research practices","volume":"12","author":[{"literal":"Giofre D"},{"literal":"Cumming G"},{"literal":"Fresc L"},{"literal":"Boedker I"},{"literal":"Tressoldi P"}],"issued":{"date-parts":[["2017"]]}}},{"id":29652,"uris":["http://zotero.org/groups/4983756/items/7CNFRCL5"],"itemData":{"id":29652,"type":"article-journal","abstract":"For any scientific report, repeating the original analyses upon the original data should yield the original outcomes. We evaluated analytic reproducibility in 25 Psychological Science articles awarded open data badges between 2014 and 2015. Initially, 16 (64%, 95% confidence interval [43,81]) articles contained at least one 'major numerical discrepancy' (&gt;10% difference) prompting us to request input from original authors. Ultimately, target values were reproducible without author involvement for 9 (36% [20,59]) articles; reproducible with author involvement for 6 (24% [8,47]) articles; not fully reproducible with no substantive author response for 3 (12% [0,35]) articles; and not fully reproducible despite author involvement for 7 (28% [12,51]) articles. Overall, 37 major numerical discrepancies remained out of 789 checked values (5% [3,6]), but original conclusions did not appear affected. Non-reproducibility was primarily caused by unclear reporting of analytic procedures. These results highlight that open data alone is not sufficient to ensure analytic reproducibility.","container-title":"Royal Society Open Science","DOI":"10.1098/rsos.201494","ISSN":"2054-5703","issue":"1","page":"201494","title":"Analytic reproducibility in articles receiving open data badges at the journal Psychological Science: an observational study","volume":"8","author":[{"literal":"Hardwicke T E"},{"literal":"Bohn M"},{"literal":"MacDonald K"},{"literal":"Hembacher E"},{"literal":"Nuijten M B"},{"literal":"Peloquin B N"},{"literal":"deMayo B E"},{"literal":"Long B"},{"literal":"Yoon E J"},{"literal":"Frank M C"}],"issued":{"date-parts":[["2021"]]}}},{"id":29652,"uris":["http://zotero.org/groups/4983756/items/7CNFRCL5"],"itemData":{"id":29652,"type":"article-journal","abstract":"For any scientific report, repeating the original analyses upon the original data should yield the original outcomes. We evaluated analytic reproducibility in 25 Psychological Science articles awarded open data badges between 2014 and 2015. Initially, 16 (64%, 95% confidence interval [43,81]) articles contained at least one 'major numerical discrepancy' (&gt;10% difference) prompting us to request input from original authors. Ultimately, target values were reproducible without author involvement for 9 (36% [20,59]) articles; reproducible with author involvement for 6 (24% [8,47]) articles; not fully reproducible with no substantive author response for 3 (12% [0,35]) articles; and not fully reproducible despite author involvement for 7 (28% [12,51]) articles. Overall, 37 major numerical discrepancies remained out of 789 checked values (5% [3,6]), but original conclusions did not appear affected. Non-reproducibility was primarily caused by unclear reporting of analytic procedures. These results highlight that open data alone is not sufficient to ensure analytic reproducibility.","container-title":"Royal Society Open Science","DOI":"10.1098/rsos.201494","ISSN":"2054-5703","issue":"1","page":"201494","title":"Analytic reproducibility in articles receiving open data badges at the journal Psychological Science: an observational study","volume":"8","author":[{"literal":"Hardwicke T E"},{"literal":"Bohn M"},{"literal":"MacDonald K"},{"literal":"Hembacher E"},{"literal":"Nuijten M B"},{"literal":"Peloquin B N"},{"literal":"deMayo B E"},{"literal":"Long B"},{"literal":"Yoon E J"},{"literal":"Frank M C"}],"issued":{"date-parts":[["2021"]]}}},{"id":29664,"uris":["http://zotero.org/groups/4983756/items/YBH5PN9S"],"itemData":{"id":29664,"type":"article-journal","abstract":"Beginning January 2014, Psychological Science gave authors the opportunity to signal open data and materials if they qualified for badges that accompanied published articles. Before badges, less than 3% of Psychological Science articles reported open data. After badges, 23% reported open data, with an accelerating trend; 39% reported open data in the first half of 2015, an increase of more than an order of magnitude from baseline. There was no change over time in the low rates of data sharing among comparison journals. Moreover, reporting openness does not guarantee openness. When badges were earned, reportedly available data were more likely to be actually available, correct, usable, and complete than when badges were not earned. Open materials also increased to a weaker degree, and there was more variability among comparison journals. Badges are simple, effective signals to promote open practices and improve preservation of data and materials by using independent repositories. Copyright © 2016 Kidwell et al.","container-title":"PLoS Biology","DOI":"10.1371/journal.pbio.1002456","ISSN":"1544-9173 1545-7885","page":"e1002456","title":"Badges to Acknowledge Open Practices: A Simple, Low-Cost, Effective Method for Increasing Transparency","volume":"14(5) (no pagination)","author":[{"literal":"Kidwell M C"},{"literal":"Lazarevic L B"},{"literal":"Baranski E"},{"literal":"Hardwicke T E"},{"literal":"Piechowski S"},{"literal":"Falkenberg L S"},{"literal":"Kennett C"},{"literal":"Slowik A"},{"literal":"Sonnleitner C"},{"literal":"Hess-Holden C"},{"literal":"Errington T M"},{"literal":"Fiedler S"},{"literal":"Nosek B A"}],"issued":{"date-parts":[["2016"]]}}},{"id":29698,"uris":["http://zotero.org/groups/4983756/items/7WYJQWKK"],"itemData":{"id":29698,"type":"article-journal","abstract":"Sharing data and code are important components of reproducible research. Data sharing in research is widely discussed in the literature; however, there are no well-established evidence-based incentives that reward data sharing, nor randomized studies that demonstrate the effectiveness of data sharing policies at increasing data sharing. A simple incentive, such as an Open Data Badge, might provide the change needed to increase data sharing in health and medical research. This study was a parallel group randomized controlled trial (protocol registration: doi:10.17605/OSF.IO/PXWZQ) with two groups, control and intervention, with 80 research articles published in BMJ Open per group, with a total of 160 research articles. The intervention group received an email offer for an Open Data Badge if they shared their data along with their final publication and the control group received an email with no offer of a badge if they shared their data with their final publication. The primary outcome was the data sharing rate. Badges did not noticeably motivate researchers who published in BMJ Open to share their data; the odds of awarding badges were nearly equal in the intervention and control groups (odds ratio = 0.9, 95% CI [0.1, 9.0]). Data sharing rates were low in both groups, with just two datasets shared in each of the intervention and control groups. The global movement towards open science has made significant gains with the development of numerous data sharing policies and tools. What remains to be established is an effective incentive that motivates researchers to take up such tools to share their data.","container-title":"Royal Society Open Science","DOI":"10.1098/rsos.191818","ISSN":"2054-5703","issue":"3","page":"191818","title":"Did awarding badges increase data sharing in BMJ Open? A randomized controlled trial","volume":"7","author":[{"literal":"Rowhani-Farid A"},{"literal":"Aldcroft A"},{"literal":"Barnett A G"}],"issued":{"date-parts":[["2020"]]}}},{"id":29662,"uris":["http://zotero.org/groups/4983756/items/24EB9KQA"],"itemData":{"id":29662,"type":"article-journal","abstract":"&lt;b&gt;Background&lt;/b&gt;: Reproducible research includes sharing data and code. The reproducibility policy at the journal Biostatistics rewards articles with badges for data and code sharing. This study investigates the effect of badges at increasing reproducible research, specifically, data and code sharing, at Biostatistics. &lt;b&gt;Methods&lt;/b&gt;: The setting of this observational study is the Biostatistics and Statistics in Medicine (control journal) online research archives. The data consisted of 240 randomly sampled articles from 2006 to 2013 (30 articles per year) per journal, a total sample of 480 articles. Data analyses included: plotting probability of data and code sharing by article submission date, and Bayesian logistic regression modelling to test for a difference in the probability of making data and code available after the introduction of badges at Biostatistics. &lt;b&gt;Results&lt;/b&gt;: The probability of data sharing was higher at Biostatistics than the control journal but the probability of code sharing was comparable for both journals. The probability of data sharing increased by 3.5 times (95% credible interval: 1.4 to 7.4 times, p-value probability that sharing increased: 0.996) after badges were introduced at Biostatistics. On an absolute scale, however, this difference was only a 7.3% increase in data sharing (95% CI: 2 to 14%, p-value: 0.996). Badges did not have an impact on code sharing at the journal (mean increase: 1.1 times, 95% credible interval: 0.45 to 2.14 times, p-value probability that sharing increased: 0.549). &lt;b&gt;Conclusions:&lt;/b&gt; The effect of badges at Biostatistics was a 7.3% increase in the data sharing rate, 5 times less than the effect of badges on data sharing at Psychological Science (37.9% badge effect). Though the effect of badges at Biostatistics did not impact code sharing, and was associated with only a moderate effect on data sharing, badges are an interesting step that journals are taking to incentivise and promote reproducible research.","container-title":"F1000Research","DOI":"10.12688/f1000research.13477.2","ISSN":"2046-1402","page":"90","title":"Badges for sharing data and code at Biostatistics: an observational study","volume":"7","author":[{"literal":"Rowhani-Farid A"},{"literal":"Barnett A G"}],"issued":{"date-parts":[["2018"]]}}}],"schema":"https://github.com/citation-style-language/schema/raw/master/csl-citation.json"} </w:instrText>
      </w:r>
      <w:r w:rsidRPr="008C17AC">
        <w:rPr>
          <w:rFonts w:ascii="Times New Roman" w:eastAsia="Times New Roman" w:hAnsi="Times New Roman" w:cs="Times New Roman"/>
        </w:rPr>
        <w:fldChar w:fldCharType="separate"/>
      </w:r>
      <w:r w:rsidR="009C5FF4" w:rsidRPr="008C17AC">
        <w:rPr>
          <w:rFonts w:ascii="Times New Roman" w:hAnsi="Times New Roman" w:cs="Times New Roman"/>
        </w:rPr>
        <w:t>[65,74,74,83,83,90,111,113]</w:t>
      </w:r>
      <w:r w:rsidRPr="008C17AC">
        <w:rPr>
          <w:rFonts w:ascii="Times New Roman" w:eastAsia="Times New Roman" w:hAnsi="Times New Roman" w:cs="Times New Roman"/>
        </w:rPr>
        <w:fldChar w:fldCharType="end"/>
      </w:r>
      <w:r w:rsidR="0B0C16F2" w:rsidRPr="008C17AC">
        <w:rPr>
          <w:rFonts w:ascii="Times New Roman" w:eastAsia="Times New Roman" w:hAnsi="Times New Roman" w:cs="Times New Roman"/>
        </w:rPr>
        <w:t xml:space="preserve">. Two of those investigated the effect of receiving a </w:t>
      </w:r>
      <w:r w:rsidR="3F9EA763" w:rsidRPr="008C17AC">
        <w:rPr>
          <w:rFonts w:ascii="Times New Roman" w:eastAsia="Times New Roman" w:hAnsi="Times New Roman" w:cs="Times New Roman"/>
        </w:rPr>
        <w:t>badge by comparing the amount of data shared from authors who have and have not received a badge, while the other seven compared outcomes between journals</w:t>
      </w:r>
      <w:r w:rsidR="2D5269A8" w:rsidRPr="008C17AC">
        <w:rPr>
          <w:rFonts w:ascii="Times New Roman" w:eastAsia="Times New Roman" w:hAnsi="Times New Roman" w:cs="Times New Roman"/>
        </w:rPr>
        <w:t xml:space="preserve"> issuing badges or not. </w:t>
      </w:r>
      <w:r w:rsidR="3F9EA763" w:rsidRPr="008C17AC">
        <w:rPr>
          <w:rFonts w:ascii="Times New Roman" w:eastAsia="Times New Roman" w:hAnsi="Times New Roman" w:cs="Times New Roman"/>
        </w:rPr>
        <w:t xml:space="preserve"> </w:t>
      </w:r>
    </w:p>
    <w:p w14:paraId="672FA8DD" w14:textId="35C45C1E" w:rsidR="11041A0F" w:rsidRPr="008C17AC" w:rsidRDefault="790D0225" w:rsidP="23EF21E2">
      <w:pPr>
        <w:spacing w:after="120" w:line="360" w:lineRule="auto"/>
        <w:ind w:left="-20" w:right="-20"/>
        <w:rPr>
          <w:rFonts w:ascii="Times New Roman" w:eastAsia="Times New Roman" w:hAnsi="Times New Roman" w:cs="Times New Roman"/>
          <w:u w:val="single"/>
        </w:rPr>
      </w:pPr>
      <w:r w:rsidRPr="008C17AC">
        <w:rPr>
          <w:rFonts w:ascii="Times New Roman" w:eastAsia="Times New Roman" w:hAnsi="Times New Roman" w:cs="Times New Roman"/>
          <w:u w:val="single"/>
        </w:rPr>
        <w:t>Specific tools (n=</w:t>
      </w:r>
      <w:r w:rsidR="3270E913" w:rsidRPr="008C17AC">
        <w:rPr>
          <w:rFonts w:ascii="Times New Roman" w:eastAsia="Times New Roman" w:hAnsi="Times New Roman" w:cs="Times New Roman"/>
          <w:u w:val="single"/>
        </w:rPr>
        <w:t>7</w:t>
      </w:r>
      <w:r w:rsidRPr="008C17AC">
        <w:rPr>
          <w:rFonts w:ascii="Times New Roman" w:eastAsia="Times New Roman" w:hAnsi="Times New Roman" w:cs="Times New Roman"/>
          <w:u w:val="single"/>
        </w:rPr>
        <w:t>)</w:t>
      </w:r>
      <w:r w:rsidRPr="008C17AC">
        <w:rPr>
          <w:rFonts w:ascii="Times New Roman" w:eastAsia="Times New Roman" w:hAnsi="Times New Roman" w:cs="Times New Roman"/>
        </w:rPr>
        <w:t>:</w:t>
      </w:r>
      <w:r w:rsidR="24C80E0A" w:rsidRPr="008C17AC">
        <w:rPr>
          <w:rFonts w:ascii="Times New Roman" w:eastAsia="Times New Roman" w:hAnsi="Times New Roman" w:cs="Times New Roman"/>
        </w:rPr>
        <w:t xml:space="preserve"> Seven studies lo</w:t>
      </w:r>
      <w:r w:rsidR="05E5E232" w:rsidRPr="008C17AC">
        <w:rPr>
          <w:rFonts w:ascii="Times New Roman" w:eastAsia="Times New Roman" w:hAnsi="Times New Roman" w:cs="Times New Roman"/>
        </w:rPr>
        <w:t>o</w:t>
      </w:r>
      <w:r w:rsidR="24C80E0A" w:rsidRPr="008C17AC">
        <w:rPr>
          <w:rFonts w:ascii="Times New Roman" w:eastAsia="Times New Roman" w:hAnsi="Times New Roman" w:cs="Times New Roman"/>
        </w:rPr>
        <w:t>ked at specific tools, such as web-based writing or reporting aids (n=</w:t>
      </w:r>
      <w:r w:rsidR="6A626531" w:rsidRPr="008C17AC">
        <w:rPr>
          <w:rFonts w:ascii="Times New Roman" w:eastAsia="Times New Roman" w:hAnsi="Times New Roman" w:cs="Times New Roman"/>
        </w:rPr>
        <w:t>3</w:t>
      </w:r>
      <w:r w:rsidR="24C80E0A" w:rsidRPr="008C17AC">
        <w:rPr>
          <w:rFonts w:ascii="Times New Roman" w:eastAsia="Times New Roman" w:hAnsi="Times New Roman" w:cs="Times New Roman"/>
        </w:rPr>
        <w:t>)</w:t>
      </w:r>
      <w:r w:rsidR="000F7B78" w:rsidRPr="008C17AC">
        <w:rPr>
          <w:rFonts w:ascii="Times New Roman" w:eastAsia="Times New Roman" w:hAnsi="Times New Roman" w:cs="Times New Roman"/>
        </w:rPr>
        <w:t xml:space="preserve"> </w:t>
      </w:r>
      <w:r w:rsidRPr="008C17AC">
        <w:rPr>
          <w:rFonts w:ascii="Times New Roman" w:eastAsia="Times New Roman" w:hAnsi="Times New Roman" w:cs="Times New Roman"/>
        </w:rPr>
        <w:fldChar w:fldCharType="begin"/>
      </w:r>
      <w:r w:rsidRPr="008C17AC">
        <w:rPr>
          <w:rFonts w:ascii="Times New Roman" w:eastAsia="Times New Roman" w:hAnsi="Times New Roman" w:cs="Times New Roman"/>
        </w:rPr>
        <w:instrText xml:space="preserve"> ADDIN ZOTERO_ITEM CSL_CITATION {"citationID":"5d2Ohufw","properties":{"formattedCitation":"[55,87,125]","plainCitation":"[55,87,125]","noteIndex":0},"citationItems":[{"id":31341,"uris":["http://zotero.org/groups/4983756/items/E587G6GP","http://zotero.org/groups/4983756/items/54LX8ND4"],"itemData":{"id":31341,"type":"article-journal","container-title":"BMC Medicine","DOI":"10.1186/s12916-015-0460-y","ISSN":"1741-7015","issue":"1","journalAbbreviation":"BMC Med","language":"en","page":"221","source":"DOI.org (Crossref)","title":"Impact of an online writing aid tool for writing a randomized trial report: the COBWEB (Consort-based WEB tool) randomized controlled trial","title-short":"Impact of an online writing aid tool for writing a randomized trial report","volume":"13","author":[{"family":"Barnes","given":"Caroline"},{"family":"Boutron","given":"Isabelle"},{"family":"Giraudeau","given":"Bruno"},{"family":"Porcher","given":"Raphael"},{"family":"Altman","given":"Douglas G"},{"family":"Ravaud","given":"Philippe"}],"issued":{"date-parts":[["2015",12]]}}},{"id":29725,"uris":["http://zotero.org/groups/4983756/items/97FR4IP8"],"itemData":{"id":29725,"type":"article-journal","abstract":"The CONSORT Statement is an evidence-informed guideline for reporting randomised controlled trials. A number of extensions have been developed that specify additional information to report for more complex trials. The aim of this study was to evaluate the impact of using a simple web-based tool (WebCONSORT, which incorporates a number of different CONSORT extensions) on the completeness of reporting of randomised trials published in biomedical publications.","container-title":"BMC Medicine","DOI":"10.1186/s12916-016-0736-x","ISSN":"1741-7015","issue":"1","page":"199","title":"Impact of a web-based tool (WebCONSORT) to improve the reporting of randomised trials: results of a randomised controlled trial","volume":"14","author":[{"literal":"Hopewell Sally"},{"literal":"Boutron Isabelle"},{"literal":"Altman Douglas G"},{"literal":"Barbour Ginny"},{"literal":"Moher David"},{"literal":"Montori Victor"},{"literal":"Schriger David"},{"literal":"Cook Jonathan"},{"literal":"Gerry Stephen"},{"literal":"Omar Omar"},{"literal":"Dutton Peter"},{"literal":"Roberts Corran"},{"literal":"Frangou Eleni"},{"literal":"Clifton Lei"},{"literal":"Chiocchia Virginia"},{"literal":"Rombach Ines"},{"literal":"Wartolowska Karolina"},{"literal":"Ravaud Philippe"}],"issued":{"date-parts":[["2016"]]}}},{"id":29717,"uris":["http://zotero.org/groups/4983756/items/H39E3DNR"],"itemData":{"id":29717,"type":"article-journal","abstract":"Background: Th EQUATOR Network improves the quality and transparency in health research, primarily by promoting awareness and use of reporting guidelines. In 2018, the UK EQUATOR Centre launched GoodReports.org, a website that helps authors find and use reporting guidelines. This paper describes the tool’s development so far. We describe user experience and behaviour of using GoodReports.org both inside and outside a journal manuscript submission process. We intend to use our findings to inform future development and testing of the tool. Methods: We conducted a survey to collect data on user experience of the GoodReports website. We cross-checked a random sample of 100 manuscripts submitted to a partner journal to describe the level of agreement between the tool’s checklist recommendation and what we would have recommended. We compared the proportion of authors submitting a completed reporting checklist alongside their manuscripts between groups exposed or not exposed to the GoodReports tool. We also conducted a study comparing completeness of reporting of manuscript text before an author received a reporting guideline recommendation from GoodReports.org with the completeness of the text subsequently submitted to a partner journal. Results: Seventy percent (423/599) of survey respondents rated GoodReports 8 or more out of 10 for usefulness, and 74% (198/267) said they had made changes to their manuscript after using the website. We agreed with the GoodReports reporting guideline recommendation in 84% (72/86) of cases. Of authors who completed the guideline finder questionnaire, 14% (10/69) failed to submit a completed checklist compared to 30% (41/136) who did not use the tool. Of the 69 authors who received a GoodReports reporting guideline recommendation, 20 manuscript pairs could be reviewed before and after use of GoodReports. Five included more information in their methods section after exposure to GoodReports. On average, authors reported 57% of necessary reporting items before completing a checklist on GoodReports.org and 60% after. Conclusion: The data suggest that reporting guidance is needed early in the writing process, not at submission stage. We are developing GoodReports by adding more reporting guidelines and by creating editable article templates. We will test whether GoodReports users write more complete study reports in a randomised trial targeting researchers starting to write health research articles. © 2021, The Author(s).","container-title":"BMC Medical Research Methodology","DOI":"10.1186/s12874-021-01402-x","ISSN":"14712288 (ISSN)","issue":"1","page":"217","title":"GoodReports: developing a website to help health researchers find and use reporting guidelines","volume":"21","author":[{"literal":"Struthers C"},{"literal":"Harwood J"},{"literal":"de Beyer J A"},{"literal":"Dhiman P"},{"literal":"Logullo P"},{"literal":"Schlüssel M"}],"issued":{"date-parts":[["2021"]]}}}],"schema":"https://github.com/citation-style-language/schema/raw/master/csl-citation.json"} </w:instrText>
      </w:r>
      <w:r w:rsidRPr="008C17AC">
        <w:rPr>
          <w:rFonts w:ascii="Times New Roman" w:eastAsia="Times New Roman" w:hAnsi="Times New Roman" w:cs="Times New Roman"/>
        </w:rPr>
        <w:fldChar w:fldCharType="separate"/>
      </w:r>
      <w:r w:rsidR="000F7B78" w:rsidRPr="008C17AC">
        <w:rPr>
          <w:rFonts w:ascii="Times New Roman" w:hAnsi="Times New Roman" w:cs="Times New Roman"/>
        </w:rPr>
        <w:t>[55,87,125]</w:t>
      </w:r>
      <w:r w:rsidRPr="008C17AC">
        <w:rPr>
          <w:rFonts w:ascii="Times New Roman" w:eastAsia="Times New Roman" w:hAnsi="Times New Roman" w:cs="Times New Roman"/>
        </w:rPr>
        <w:fldChar w:fldCharType="end"/>
      </w:r>
      <w:r w:rsidR="24C80E0A" w:rsidRPr="008C17AC">
        <w:rPr>
          <w:rFonts w:ascii="Times New Roman" w:eastAsia="Times New Roman" w:hAnsi="Times New Roman" w:cs="Times New Roman"/>
        </w:rPr>
        <w:t>, workflows and standardization</w:t>
      </w:r>
      <w:r w:rsidR="44AED86A" w:rsidRPr="008C17AC">
        <w:rPr>
          <w:rFonts w:ascii="Times New Roman" w:eastAsia="Times New Roman" w:hAnsi="Times New Roman" w:cs="Times New Roman"/>
        </w:rPr>
        <w:t xml:space="preserve"> tools</w:t>
      </w:r>
      <w:r w:rsidR="24C80E0A" w:rsidRPr="008C17AC">
        <w:rPr>
          <w:rFonts w:ascii="Times New Roman" w:eastAsia="Times New Roman" w:hAnsi="Times New Roman" w:cs="Times New Roman"/>
        </w:rPr>
        <w:t xml:space="preserve"> (n=</w:t>
      </w:r>
      <w:r w:rsidR="7E5AD351" w:rsidRPr="008C17AC">
        <w:rPr>
          <w:rFonts w:ascii="Times New Roman" w:eastAsia="Times New Roman" w:hAnsi="Times New Roman" w:cs="Times New Roman"/>
        </w:rPr>
        <w:t>2</w:t>
      </w:r>
      <w:r w:rsidR="24C80E0A" w:rsidRPr="008C17AC">
        <w:rPr>
          <w:rFonts w:ascii="Times New Roman" w:eastAsia="Times New Roman" w:hAnsi="Times New Roman" w:cs="Times New Roman"/>
        </w:rPr>
        <w:t>)</w:t>
      </w:r>
      <w:r w:rsidR="000F7B78" w:rsidRPr="008C17AC">
        <w:rPr>
          <w:rFonts w:ascii="Times New Roman" w:eastAsia="Times New Roman" w:hAnsi="Times New Roman" w:cs="Times New Roman"/>
        </w:rPr>
        <w:t xml:space="preserve"> </w:t>
      </w:r>
      <w:r w:rsidRPr="008C17AC">
        <w:rPr>
          <w:rFonts w:ascii="Times New Roman" w:eastAsia="Times New Roman" w:hAnsi="Times New Roman" w:cs="Times New Roman"/>
        </w:rPr>
        <w:fldChar w:fldCharType="begin"/>
      </w:r>
      <w:r w:rsidRPr="008C17AC">
        <w:rPr>
          <w:rFonts w:ascii="Times New Roman" w:eastAsia="Times New Roman" w:hAnsi="Times New Roman" w:cs="Times New Roman"/>
        </w:rPr>
        <w:instrText xml:space="preserve"> ADDIN ZOTERO_ITEM CSL_CITATION {"citationID":"X2ngd4W6","properties":{"formattedCitation":"[95,122]","plainCitation":"[95,122]","noteIndex":0},"citationItems":[{"id":29769,"uris":["http://zotero.org/groups/4983756/items/U6JD7RUC"],"itemData":{"id":29769,"type":"article-journal","abstract":"Big biomedical data create exciting opportunities for discovery, but make it difficult to capture analyses and outputs in forms that are findable, accessible, interoperable, and reusable (FAIR). In response, we describe tools that make it easy to capture, and assign identifiers to, data and code throughout the data lifecycle. We illustrate the use of these tools via a case study involving a multi-step analysis that creates an atlas of putative transcription factor binding sites from terabytes of ENCODE DNase I hypersensitive sites sequencing data. We show how the tools automate routine but complex tasks, capture analysis algorithms in understandable and reusable forms, and harness fast networks and powerful cloud computers to process data rapidly, all without sacrificing usability or reproducibility-thus ensuring that big data are not hard-to-(re)use data. We evaluate our approach via a user study, and show that 91% of participants were able to replicate a complex analysis involving considerable data volumes.","container-title":"PLoS ONE [Electronic Resource]","DOI":"10.1371/journal.pone.0213013","ISSN":"1932-6203","issue":"4","page":"e0213013","title":"Reproducible big data science: A case study in continuous FAIRness","volume":"14","author":[{"literal":"Madduri R"},{"literal":"Chard K"},{"literal":"D'Arcy M"},{"literal":"Jung S C"},{"literal":"Rodriguez A"},{"literal":"Sulakhe D"},{"literal":"Deutsch E"},{"literal":"Funk C"},{"literal":"Heavner B"},{"literal":"Richards M"},{"literal":"Shannon P"},{"literal":"Glusman G"},{"literal":"Price N"},{"literal":"Kesselman C"},{"literal":"Foster I"}],"issued":{"date-parts":[["2019"]]}}},{"id":29635,"uris":["http://zotero.org/groups/4983756/items/S8539RFP"],"itemData":{"id":29635,"type":"article-journal","abstract":"BACKGROUND: Sharing health data is challenging because of several technical, ethical, and regulatory issues. The Findable, Accessible, Interoperable, and Reusable (FAIR) guiding principles have been conceptualized to enable data interoperability. Many studies provide implementation guidelines, assessment metrics, and software to achieve FAIR-compliant data, especially for health data sets. Health Level 7 (HL7) Fast Healthcare Interoperability Resources (FHIR) is a health data content modeling and exchange standard. OBJECTIVE: Our goal was to devise a new methodology to extract, transform, and load existing health data sets into HL7 FHIR repositories in line with FAIR principles, develop a Data Curation Tool to implement the methodology, and evaluate it on health data sets from 2 different but complementary institutions. We aimed to increase the level of compliance with FAIR principles of existing health data sets through standardization and facilitate health data sharing by eliminating the associated technical barriers. METHODS: Our approach automatically processes the capabilities of a given FHIR end point and directs the user while configuring mappings according to the rules enforced by FHIR profile definitions. Code system mappings can be configured for terminology translations through automatic use of FHIR resources. The validity of the created FHIR resources can be automatically checked, and the software does not allow invalid resources to be persisted. At each stage of our data transformation methodology, we used particular FHIR-based techniques so that the resulting data set could be evaluated as FAIR. We performed a data-centric evaluation of our methodology on health data sets from 2 different institutions. RESULTS: Through an intuitive graphical user interface, users are prompted to configure the mappings into FHIR resource types with respect to the restrictions of selected profiles. Once the mappings are developed, our approach can syntactically and semantically transform existing health data sets into HL7 FHIR without loss of data utility according to our privacy-concerned criteria. In addition to the mapped resource types, behind the scenes, we create additional FHIR resources to satisfy several FAIR criteria. According to the data maturity indicators and evaluation methods of the FAIR Data Maturity Model, we achieved the maximum level (level 5) for being Findable, Accessible, and Interoperable and level 3 for being Reusable. CONCLUSIONS: We developed and extensively evaluated our data transformation approach to unlock the value of existing health data residing in disparate data silos to make them available for sharing according to the FAIR principles. We showed that our method can successfully transform existing health data sets into HL7 FHIR without loss of data utility, and the result is FAIR in terms of the FAIR Data Maturity Model. We support institutional migration to HL7 FHIR, which not only leads to FAIR data sharing but also eases the integration with different research networks.","container-title":"Journal of Medical Internet Research","DOI":"10.2196/42822","ISSN":"1438-8871","page":"e42822","title":"A Data Transformation Methodology to Create Findable, Accessible, Interoperable, and Reusable Health Data: Software Design, Development, and Evaluation Study","volume":"25","author":[{"literal":"Sinaci A A"},{"literal":"Gencturk M"},{"literal":"Teoman H A"},{"literal":"Laleci Erturkmen"},{"literal":"G B"},{"literal":"Alvarez-Romero C"},{"literal":"Martinez-Garcia A"},{"literal":"Poblador-Plou B"},{"literal":"Carmona-Pirez J"},{"literal":"Lobe M"},{"literal":"Parra-Calderon C L"}],"issued":{"date-parts":[["2023"]]}}}],"schema":"https://github.com/citation-style-language/schema/raw/master/csl-citation.json"} </w:instrText>
      </w:r>
      <w:r w:rsidRPr="008C17AC">
        <w:rPr>
          <w:rFonts w:ascii="Times New Roman" w:eastAsia="Times New Roman" w:hAnsi="Times New Roman" w:cs="Times New Roman"/>
        </w:rPr>
        <w:fldChar w:fldCharType="separate"/>
      </w:r>
      <w:r w:rsidR="000F7B78" w:rsidRPr="008C17AC">
        <w:rPr>
          <w:rFonts w:ascii="Times New Roman" w:hAnsi="Times New Roman" w:cs="Times New Roman"/>
        </w:rPr>
        <w:t>[95,122]</w:t>
      </w:r>
      <w:r w:rsidRPr="008C17AC">
        <w:rPr>
          <w:rFonts w:ascii="Times New Roman" w:eastAsia="Times New Roman" w:hAnsi="Times New Roman" w:cs="Times New Roman"/>
        </w:rPr>
        <w:fldChar w:fldCharType="end"/>
      </w:r>
      <w:r w:rsidR="24C80E0A" w:rsidRPr="008C17AC">
        <w:rPr>
          <w:rFonts w:ascii="Times New Roman" w:eastAsia="Times New Roman" w:hAnsi="Times New Roman" w:cs="Times New Roman"/>
        </w:rPr>
        <w:t xml:space="preserve">, </w:t>
      </w:r>
      <w:r w:rsidR="119EE561" w:rsidRPr="008C17AC">
        <w:rPr>
          <w:rFonts w:ascii="Times New Roman" w:eastAsia="Times New Roman" w:hAnsi="Times New Roman" w:cs="Times New Roman"/>
        </w:rPr>
        <w:t xml:space="preserve">and </w:t>
      </w:r>
      <w:r w:rsidR="60C898BF" w:rsidRPr="008C17AC">
        <w:rPr>
          <w:rFonts w:ascii="Times New Roman" w:eastAsia="Times New Roman" w:hAnsi="Times New Roman" w:cs="Times New Roman"/>
        </w:rPr>
        <w:t>statistical and automated code cleaning tools (n=2)</w:t>
      </w:r>
      <w:r w:rsidR="000F7B78" w:rsidRPr="008C17AC">
        <w:rPr>
          <w:rFonts w:ascii="Times New Roman" w:eastAsia="Times New Roman" w:hAnsi="Times New Roman" w:cs="Times New Roman"/>
        </w:rPr>
        <w:t xml:space="preserve"> </w:t>
      </w:r>
      <w:r w:rsidRPr="008C17AC">
        <w:rPr>
          <w:rFonts w:ascii="Times New Roman" w:eastAsia="Times New Roman" w:hAnsi="Times New Roman" w:cs="Times New Roman"/>
        </w:rPr>
        <w:fldChar w:fldCharType="begin"/>
      </w:r>
      <w:r w:rsidRPr="008C17AC">
        <w:rPr>
          <w:rFonts w:ascii="Times New Roman" w:eastAsia="Times New Roman" w:hAnsi="Times New Roman" w:cs="Times New Roman"/>
        </w:rPr>
        <w:instrText xml:space="preserve"> ADDIN ZOTERO_ITEM CSL_CITATION {"citationID":"3Hk9zTnr","properties":{"formattedCitation":"[61,128]","plainCitation":"[61,128]","noteIndex":0},"citationItems":[{"id":29763,"uris":["http://zotero.org/groups/4983756/items/WA29YIG7"],"itemData":{"id":29763,"type":"article-journal","abstract":"A complete declarative description of the computational environment is usually missing when researchers share their materials. Without such description, software obsolescence and missing system components can jeopardize computational reproducibility in the future, even when data and computer code are available. The R package rang is a complete solution for generating the declarative description for other researchers to automatically reconstruct the computational environment at a specific time point. The reconstruction process, based on Docker, has been tested for R code as old as 2001. The declarative description generated by rang satisfies the definition of a reproducible research compendium and can be shared as such. In this contribution, we show how rang can be used to make otherwise unexecutable code, spanning fields such as computational social science and bioinformatics, executable again. We also provide instructions on how to use rang to construct reproducible and shareable research compendia of current research. The package is currently available from CRAN (https://cran.r-project.org/web/packages/rang/index.html) and GitHub (https://github.com/chainsawriot/rang).","container-title":"PLoS ONE [Electronic Resource]","DOI":"10.1371/journal.pone.0286761","ISSN":"1932-6203","issue":"6","page":"e0286761","title":"rang: Reconstructing reproducible R computational environments","volume":"18","author":[{"literal":"Chan C H"},{"literal":"Schoch D"}],"issued":{"date-parts":[["2023"]]}}},{"id":29637,"uris":["http://zotero.org/groups/4983756/items/CT7M4MQP"],"itemData":{"id":29637,"type":"article-journal","abstract":"This article presents a study on the quality and execution of research code from publicly-available replication datasets at the Harvard Dataverse repository. Research code is typically created by a group of scientists and published together with academic papers to facilitate research transparency and reproducibility. For this study, we define ten questions to address aspects impacting research reproducibility and reuse. First, we retrieve and analyze more than 2000 replication datasets with over 9000 unique R files published from 2010 to 2020. Second, we execute the code in a clean runtime environment to assess its ease of reuse. Common coding errors were identified, and some of them were solved with automatic code cleaning to aid code execution. We find that 74% of R files failed to complete without error in the initial execution, while 56% failed when code cleaning was applied, showing that many errors can be prevented with good coding practices. We also analyze the replication datasets from journals' collections and discuss the impact of the journal policy strictness on the code re-execution rate. Finally, based on our results, we propose a set of recommendations for code dissemination aimed at researchers, journals, and repositories.","container-title":"Scientific Data","DOI":"10.1038/s41597-022-01143-6","ISSN":"2052-4463","issue":"1","page":"60","title":"A large-scale study on research code quality and execution","volume":"9","author":[{"literal":"Trisovic A"},{"literal":"Lau M K"},{"literal":"Pasquier T"},{"literal":"Crosas M"}],"issued":{"date-parts":[["2022"]]}}}],"schema":"https://github.com/citation-style-language/schema/raw/master/csl-citation.json"} </w:instrText>
      </w:r>
      <w:r w:rsidRPr="008C17AC">
        <w:rPr>
          <w:rFonts w:ascii="Times New Roman" w:eastAsia="Times New Roman" w:hAnsi="Times New Roman" w:cs="Times New Roman"/>
        </w:rPr>
        <w:fldChar w:fldCharType="separate"/>
      </w:r>
      <w:r w:rsidR="000F7B78" w:rsidRPr="008C17AC">
        <w:rPr>
          <w:rFonts w:ascii="Times New Roman" w:hAnsi="Times New Roman" w:cs="Times New Roman"/>
        </w:rPr>
        <w:t>[61,128]</w:t>
      </w:r>
      <w:r w:rsidRPr="008C17AC">
        <w:rPr>
          <w:rFonts w:ascii="Times New Roman" w:eastAsia="Times New Roman" w:hAnsi="Times New Roman" w:cs="Times New Roman"/>
        </w:rPr>
        <w:fldChar w:fldCharType="end"/>
      </w:r>
      <w:r w:rsidR="60C898BF" w:rsidRPr="008C17AC">
        <w:rPr>
          <w:rFonts w:ascii="Times New Roman" w:eastAsia="Times New Roman" w:hAnsi="Times New Roman" w:cs="Times New Roman"/>
        </w:rPr>
        <w:t>.</w:t>
      </w:r>
    </w:p>
    <w:p w14:paraId="67FEE150" w14:textId="5C5E31CB" w:rsidR="11041A0F" w:rsidRPr="008C17AC" w:rsidRDefault="5744A69D" w:rsidP="23EF21E2">
      <w:pPr>
        <w:spacing w:after="120" w:line="360" w:lineRule="auto"/>
        <w:ind w:left="-20" w:right="-20"/>
        <w:rPr>
          <w:rFonts w:ascii="Times New Roman" w:eastAsia="Times New Roman" w:hAnsi="Times New Roman" w:cs="Times New Roman"/>
          <w:u w:val="single"/>
        </w:rPr>
      </w:pPr>
      <w:r w:rsidRPr="008C17AC">
        <w:rPr>
          <w:rFonts w:ascii="Times New Roman" w:eastAsia="Times New Roman" w:hAnsi="Times New Roman" w:cs="Times New Roman"/>
          <w:u w:val="single"/>
        </w:rPr>
        <w:t>Other interventions</w:t>
      </w:r>
      <w:r w:rsidR="331512DE" w:rsidRPr="008C17AC">
        <w:rPr>
          <w:rFonts w:ascii="Times New Roman" w:eastAsia="Times New Roman" w:hAnsi="Times New Roman" w:cs="Times New Roman"/>
          <w:u w:val="single"/>
        </w:rPr>
        <w:t xml:space="preserve"> (n=14)</w:t>
      </w:r>
      <w:r w:rsidRPr="008C17AC">
        <w:rPr>
          <w:rFonts w:ascii="Times New Roman" w:eastAsia="Times New Roman" w:hAnsi="Times New Roman" w:cs="Times New Roman"/>
        </w:rPr>
        <w:t xml:space="preserve">: </w:t>
      </w:r>
      <w:r w:rsidR="36CFBEDE" w:rsidRPr="008C17AC">
        <w:rPr>
          <w:rFonts w:ascii="Times New Roman" w:eastAsia="Times New Roman" w:hAnsi="Times New Roman" w:cs="Times New Roman"/>
        </w:rPr>
        <w:t>Other interventions included, for example, the building of an Open Science training community (n=1)</w:t>
      </w:r>
      <w:r w:rsidR="6CA72208" w:rsidRPr="008C17AC">
        <w:rPr>
          <w:rFonts w:ascii="Times New Roman" w:eastAsia="Times New Roman" w:hAnsi="Times New Roman" w:cs="Times New Roman"/>
        </w:rPr>
        <w:t xml:space="preserve"> </w:t>
      </w:r>
      <w:r w:rsidR="790D0225" w:rsidRPr="008C17AC">
        <w:rPr>
          <w:rFonts w:ascii="Times New Roman" w:eastAsia="Times New Roman" w:hAnsi="Times New Roman" w:cs="Times New Roman"/>
        </w:rPr>
        <w:fldChar w:fldCharType="begin"/>
      </w:r>
      <w:r w:rsidR="790D0225" w:rsidRPr="008C17AC">
        <w:rPr>
          <w:rFonts w:ascii="Times New Roman" w:eastAsia="Times New Roman" w:hAnsi="Times New Roman" w:cs="Times New Roman"/>
        </w:rPr>
        <w:instrText xml:space="preserve"> ADDIN ZOTERO_ITEM CSL_CITATION {"citationID":"4WANFxyW","properties":{"formattedCitation":"[110]","plainCitation":"[110]","noteIndex":0},"citationItems":[{"id":29735,"uris":["http://zotero.org/groups/4983756/items/INLL35UM"],"itemData":{"id":29735,"type":"paper-conference","abstract":"Reproducible research results are among the pillars of sustainable science, and considerable progress has been achieved in this direction recently. However, there is much room for improvement across the research communities. Here we analyze the reproducibility of 108 publications from an interdisciplinary Collaborative Research Center on applied mathematics in various scientific fields. Based on a previous reproducibility study in hydrology, we identify the rate of reproducible scientific results and why reproducibility fails. We identify the main problems that hinder reproducible results and relate them to previous interventions targeting the research culture of reproducible scientific findings. Thus, the success of our measures can be estimated, and specific recommendations for future work can be derived. In our study, the number of publications that allow for at least partly reproducible research results increased over time. However, we see an ongoing need for directives and support in research data management among research communities since issues concerning data accessibility and quality limit the reproducibility of scientific results. We argue that our results are representative of other interdisciplinary research areas. © 2022 Gesellschaft fur Informatik (GI). All rights reserved.","DOI":"10.18420/inf2022_114","ISBN":"16175468 (ISSN); 978-388579720-3 (ISBN)","page":"1341-1352","publisher":"Gesellschaft fur Informatik (GI)","title":"Including Data Management in Research Culture Increases the Reproducibility of Scientific Results","URL":"https://www.scopus.com/inward/record.uri?eid=2-s2.0-85139744413&amp;doi=10.18420%2finf2022_114&amp;partnerID=40&amp;md5=2890832363c9078bfcacea10893943dc","volume":"P-326","author":[{"literal":"Riedel C"},{"literal":"Geßner H"},{"literal":"Seegebrecht A"},{"literal":"Ayon S I"},{"literal":"Chowdhury S H"},{"literal":"Engbert R"},{"literal":"Lucke U"}],"editor":[{"literal":"Demmler D"},{"literal":"Universitat Hamburg"},{"literal":"Vogt-Kolln-Strasse Hamburg"},{"literal":"Krupka D"},{"literal":"Gesellschaft fur Informatik"},{"literal":"Anna-Louisa-Karsch-Strasse Berlin"},{"literal":"Federrath H"},{"literal":"Universitat Hamburg"},{"literal":"Vogt-Kolln-Strasse Hamburg"}],"issued":{"date-parts":[["2022"]]}}}],"schema":"https://github.com/citation-style-language/schema/raw/master/csl-citation.json"} </w:instrText>
      </w:r>
      <w:r w:rsidR="790D0225" w:rsidRPr="008C17AC">
        <w:rPr>
          <w:rFonts w:ascii="Times New Roman" w:eastAsia="Times New Roman" w:hAnsi="Times New Roman" w:cs="Times New Roman"/>
        </w:rPr>
        <w:fldChar w:fldCharType="separate"/>
      </w:r>
      <w:r w:rsidR="6CA72208" w:rsidRPr="008C17AC">
        <w:rPr>
          <w:rFonts w:ascii="Times New Roman" w:hAnsi="Times New Roman" w:cs="Times New Roman"/>
        </w:rPr>
        <w:t>[110]</w:t>
      </w:r>
      <w:r w:rsidR="790D0225" w:rsidRPr="008C17AC">
        <w:rPr>
          <w:rFonts w:ascii="Times New Roman" w:eastAsia="Times New Roman" w:hAnsi="Times New Roman" w:cs="Times New Roman"/>
        </w:rPr>
        <w:fldChar w:fldCharType="end"/>
      </w:r>
      <w:r w:rsidR="36CFBEDE" w:rsidRPr="008C17AC">
        <w:rPr>
          <w:rFonts w:ascii="Times New Roman" w:eastAsia="Times New Roman" w:hAnsi="Times New Roman" w:cs="Times New Roman"/>
        </w:rPr>
        <w:t xml:space="preserve">, p-value </w:t>
      </w:r>
      <w:r w:rsidR="7DDD634F" w:rsidRPr="008C17AC">
        <w:rPr>
          <w:rFonts w:ascii="Times New Roman" w:eastAsia="Times New Roman" w:hAnsi="Times New Roman" w:cs="Times New Roman"/>
        </w:rPr>
        <w:t>adjustments</w:t>
      </w:r>
      <w:r w:rsidR="36CFBEDE" w:rsidRPr="008C17AC">
        <w:rPr>
          <w:rFonts w:ascii="Times New Roman" w:eastAsia="Times New Roman" w:hAnsi="Times New Roman" w:cs="Times New Roman"/>
        </w:rPr>
        <w:t xml:space="preserve"> (n=2)</w:t>
      </w:r>
      <w:r w:rsidR="6CA72208" w:rsidRPr="008C17AC">
        <w:rPr>
          <w:rFonts w:ascii="Times New Roman" w:eastAsia="Times New Roman" w:hAnsi="Times New Roman" w:cs="Times New Roman"/>
        </w:rPr>
        <w:t xml:space="preserve"> </w:t>
      </w:r>
      <w:r w:rsidR="790D0225" w:rsidRPr="008C17AC">
        <w:rPr>
          <w:rFonts w:ascii="Times New Roman" w:eastAsia="Times New Roman" w:hAnsi="Times New Roman" w:cs="Times New Roman"/>
        </w:rPr>
        <w:fldChar w:fldCharType="begin"/>
      </w:r>
      <w:r w:rsidR="790D0225" w:rsidRPr="008C17AC">
        <w:rPr>
          <w:rFonts w:ascii="Times New Roman" w:eastAsia="Times New Roman" w:hAnsi="Times New Roman" w:cs="Times New Roman"/>
        </w:rPr>
        <w:instrText xml:space="preserve"> ADDIN ZOTERO_ITEM CSL_CITATION {"citationID":"NrHDzmZW","properties":{"formattedCitation":"[78,79]","plainCitation":"[78,79]","noteIndex":0},"citationItems":[{"id":29647,"uris":["http://zotero.org/groups/4983756/items/NZBANY5T"],"itemData":{"id":29647,"type":"article-journal","abstract":"The microarray community has shown that the low reproducibility observed in gene expression-based biomarker discovery studies is partially due to relying solely on p-values to get the lists of differentially expressed genes. Their conclusions recommended complementing the p-value cutoff with the use of effect-size criteria. The aim of this work was to evaluate the influence of such an effect-size filter on spectral counting-based comparative proteomic analysis. The results proved that the filter increased the number of true positives and decreased the number of false positives and the false discovery rate of the dataset. These results were confirmed by simulation experiments where the effect size filter was used to evaluate systematically variable fractions of differentially expressed proteins. Our results suggest that relaxing the p-value cut-off followed by a post-test filter based on effect size and signal level thresholds can increase the reproducibility of statistical results obtained in comparative proteomic analysis. Based on our work, we recommend using a filter consisting of a minimum absolute log&lt;inf&gt;2&lt;/inf&gt; fold change of 0.8 and a minimum signal of 2-4 SpC on the most abundant condition for the general practice of comparative proteomics. The implementation of feature filtering approaches could improve proteomic biomarker discovery initiatives by increasing the reproducibility of the results obtained among independent laboratories and MS platforms. Biological significance: Quality control analysis of microarray-based gene expression studies pointed out that the low reproducibility observed in the lists of differentially expressed genes could be partially attributed to the fact that these lists are generated relying solely on p-values. Our study has established that the implementation of an effect size post-test filter improves the statistical results of spectral count-based quantitative proteomics. The results proved that the filter increased the number of true positives whereas decreased the false positives and the false discovery rate of the datasets. The results presented here prove that a post-test filter applying a reasonable effect size and signal level thresholds helps to increase the reproducibility of statistical results in comparative proteomic analysis. Furthermore, the implementation of feature filtering approaches could improve proteomic biomarker discovery initiatives by increasing the reproducibility of results obtained among independent laboratories and MS platforms.This article is part of a Special Issue entitled: Standardization and Quality Control in Proteomics. © 2013 Elsevier B.V.","container-title":"Journal of Proteomics","DOI":"10.1016/j.jprot.2013.05.030","ISSN":"1874-3919 1876-7737","page":"55-65","title":"An effect size filter improves the reproducibility in spectral counting-based comparative proteomics","volume":"95","author":[{"literal":"Gregori J"},{"literal":"Villarreal L"},{"literal":"Sanchez A"},{"literal":"Baselga J"},{"literal":"Villanueva J"}],"issued":{"date-parts":[["2013"]]}}},{"id":29743,"uris":["http://zotero.org/groups/4983756/items/RYBJMJH7"],"itemData":{"id":29743,"type":"article-journal","abstract":"Controversy over non-reproducible published research reporting a statistically significant result has produced substantial discussion in the literature. p-value calibration is a recently proposed procedure for adjusting p-values to account for both random and systematic errors that address one aspect of this problem. The method's validity rests on the key assumption that bias in an effect estimate is drawn from a normal distribution whose mean and variance can be correctly estimated. We investigated the method's control of type I and type II error rates using simulated and real-world data. Under mild violations of underlying assumptions, control of the type I error rate can be conservative, while under more extreme departures, it can be anti-conservative. The extent to which the assumption is violated in real-world data analyses is unknown. Barriers to testing the plausibility of the assumption using historical data are discussed. Our studies of the type II error rate using simulated and real-world electronic health care data demonstrated that calibrating p-values can substantially increase the type II error rate. The use of calibrated p-values may reduce the number of false-positive results, but there will be a commensurate drop in the ability to detect a true safety or efficacy signal. While p-value calibration can sometimes offer advantages in controlling the type I error rate, its adoption for routine use in studies of real-world health care datasets is premature. Separate characterizations of random and systematic errors provide a richer context for evaluating uncertainty surrounding effect estimates. Copyright © 2016 John Wiley &amp; Sons, Ltd.","issue":"22","page":"3869-3882","title":"Limitations of empirical calibration of p-values using observational data","volume":"1","author":[{"literal":"Gruber S"},{"literal":"Tchetgen Tchetgen"},{"literal":"E"}],"issued":{"date-parts":[["2016"]]}}}],"schema":"https://github.com/citation-style-language/schema/raw/master/csl-citation.json"} </w:instrText>
      </w:r>
      <w:r w:rsidR="790D0225" w:rsidRPr="008C17AC">
        <w:rPr>
          <w:rFonts w:ascii="Times New Roman" w:eastAsia="Times New Roman" w:hAnsi="Times New Roman" w:cs="Times New Roman"/>
        </w:rPr>
        <w:fldChar w:fldCharType="separate"/>
      </w:r>
      <w:r w:rsidR="003355E3" w:rsidRPr="008C17AC">
        <w:rPr>
          <w:rFonts w:ascii="Times New Roman" w:hAnsi="Times New Roman" w:cs="Times New Roman"/>
        </w:rPr>
        <w:t>[78,79]</w:t>
      </w:r>
      <w:r w:rsidR="790D0225" w:rsidRPr="008C17AC">
        <w:rPr>
          <w:rFonts w:ascii="Times New Roman" w:eastAsia="Times New Roman" w:hAnsi="Times New Roman" w:cs="Times New Roman"/>
        </w:rPr>
        <w:fldChar w:fldCharType="end"/>
      </w:r>
      <w:r w:rsidR="330B7AA2" w:rsidRPr="008C17AC">
        <w:rPr>
          <w:rFonts w:ascii="Times New Roman" w:eastAsia="Times New Roman" w:hAnsi="Times New Roman" w:cs="Times New Roman"/>
        </w:rPr>
        <w:t xml:space="preserve"> and</w:t>
      </w:r>
      <w:r w:rsidR="36CFBEDE" w:rsidRPr="008C17AC">
        <w:rPr>
          <w:rFonts w:ascii="Times New Roman" w:eastAsia="Times New Roman" w:hAnsi="Times New Roman" w:cs="Times New Roman"/>
        </w:rPr>
        <w:t xml:space="preserve"> </w:t>
      </w:r>
      <w:r w:rsidR="47EFF95B" w:rsidRPr="008C17AC">
        <w:rPr>
          <w:rFonts w:ascii="Times New Roman" w:eastAsia="Times New Roman" w:hAnsi="Times New Roman" w:cs="Times New Roman"/>
        </w:rPr>
        <w:t>interventions aimed at peer-reviewers (n=2)</w:t>
      </w:r>
      <w:r w:rsidR="003355E3" w:rsidRPr="008C17AC">
        <w:rPr>
          <w:rFonts w:ascii="Times New Roman" w:eastAsia="Times New Roman" w:hAnsi="Times New Roman" w:cs="Times New Roman"/>
        </w:rPr>
        <w:t xml:space="preserve"> </w:t>
      </w:r>
      <w:r w:rsidR="790D0225" w:rsidRPr="008C17AC">
        <w:rPr>
          <w:rFonts w:ascii="Times New Roman" w:eastAsia="Times New Roman" w:hAnsi="Times New Roman" w:cs="Times New Roman"/>
        </w:rPr>
        <w:fldChar w:fldCharType="begin"/>
      </w:r>
      <w:r w:rsidR="790D0225" w:rsidRPr="008C17AC">
        <w:rPr>
          <w:rFonts w:ascii="Times New Roman" w:eastAsia="Times New Roman" w:hAnsi="Times New Roman" w:cs="Times New Roman"/>
        </w:rPr>
        <w:instrText xml:space="preserve"> ADDIN ZOTERO_ITEM CSL_CITATION {"citationID":"Vs8DpSBW","properties":{"formattedCitation":"[64,124]","plainCitation":"[64,124]","noteIndex":0},"citationItems":[{"id":29707,"uris":["http://zotero.org/groups/4983756/items/GPE7R87Z"],"itemData":{"id":29707,"type":"article-journal","abstract":"OBJECTIVE: To investigate the effect of an additional review based on reporting guidelines such as STROBE and CONSORT on quality of manuscripts. DESIGN: Masked randomised trial. Population Original research manuscripts submitted to the Medicina Clinica journal from May 2008 to April 2009 and considered suitable for publication. Intervention: CONTROL GROUP: conventional peer reviews alone. Intervention group: conventional review plus an additional review looking for missing items from reporting guidelines. Outcomes Manuscript quality, assessed with a 5 point Likert scale (primary: overall quality; secondary: average quality of specific items in paper). Main analysis compared groups as allocated, after adjustment for baseline factors (analysis of covariance); sensitivity analysis compared groups as reviewed. Adherence to reviewer suggestions assessed with Likert scale. RESULTS: Of 126 consecutive papers receiving conventional review, 34 were not suitable for publication. The remaining 92 papers were allocated to receive conventional reviews alone (n=41) or additional reviews (n=51). Four papers assigned to the conventional review group deviated from protocol; they received an additional review based on reporting guidelines. We saw an improvement in manuscript quality in favour of the additional review group (comparison as allocated, 0.25, 95% confidence interval -0.05 to 0.54; as reviewed, 0.33, 0.03 to 0.63). More papers with additional reviews than with conventional reviews alone improved from baseline (22 (43%) v eight (20%), difference 23.6% (3.2% to 44.0%), number needed to treat 4.2 (from 2.3 to 31.2), relative risk 2.21 (1.10 to 4.44)). Authors in the additional review group adhered more to suggestions from conventional reviews than to those from additional reviews (average increase 0.43 Likert points (0.19 to 0.67)). CONCLUSIONS: Additional reviews based on reporting guidelines improve manuscript quality, although the observed effect was smaller than hypothesised and not definitively demonstrated. Authors adhere more to suggestions from conventional reviews than to those from additional reviews, showing difficulties in adhering to high methodological standards at the latest research phases. To boost paper quality and impact, authors should be aware of future requirements of reporting guidelines at the very beginning of their study. Trial registration and protocol Although registries do not include trials of peer review, the protocol design was submitted to sponsored research projects (Instituto de Salud Carlos III, PI081903).","page":"d6783","title":"Effect of using reporting guidelines during peer review on quality of final manuscripts submitted to a biomedical journal: masked randomised trial","volume":"1","author":[{"literal":"Cobo E"},{"literal":"Cortes J"},{"literal":"Ribera J M"},{"literal":"Cardellach F"},{"literal":"Selva-O'Callaghan A"},{"literal":"Kostov B"},{"literal":"Garcia L"},{"literal":"Cirugeda L"},{"literal":"Altman D G"},{"literal":"Gonzalez J A"},{"literal":"Sanchez J A"},{"literal":"Miras F"},{"literal":"Urrutia A"},{"literal":"Fonollosa V"},{"literal":"Rey-Joly C"},{"literal":"Vilardell M"}],"issued":{"date-parts":[["2011"]]}}},{"id":29765,"uris":["http://zotero.org/groups/4983756/items/S4XWHTJX"],"itemData":{"id":29765,"type":"article-journal","abstract":"Importance: Numerous studies have shown that adherence to reporting guidelines is suboptimal. Objective: To evaluate whether asking peer reviewers to check if specific reporting guideline items were adequately reported would improve adherence to reporting guidelines in published articles. Design, Setting, and Participants: Two parallel-group, superiority randomized trials were performed using manuscripts submitted to 7 biomedical journals (5 from the BMJ Publishing Group and 2 from the Public Library of Science) as the unit of randomization, with peer reviewers allocated to the intervention or control group. Interventions: The first trial (CONSORT-PR) focused on manuscripts that presented randomized clinical trial (RCT) results and reported following the Consolidated Standards of Reporting Trials (CONSORT) guideline, and the second trial (SPIRIT-PR) focused on manuscripts that presented RCT protocols and reported following the Standard Protocol Items: Recommendations for Interventional Trials (SPIRIT) guideline. The CONSORT-PR trial included manuscripts that described RCT primary results (submitted July 2019 to July 2021). The SPIRIT-PR trial included manuscripts that contained RCT protocols (submitted June 2020 to May 2021). Manuscripts in both trials were randomized (1:1) to the intervention or control group; the control group received usual journal practice. In the intervention group of both trials, peer reviewers received an email from the journal that asked them to check whether the 10 most important and poorly reported CONSORT (for CONSORT-PR) or SPIRIT (for SPIRIT-PR) items were adequately reported in the manuscript. Peer reviewers and authors were not informed of the purpose of the study, and outcome assessors were blinded. Main Outcomes and Measures: The difference in the mean proportion of adequately reported 10 CONSORT or SPIRIT items between the intervention and control groups in published articles. Results: In the CONSORT-PR trial, 510 manuscripts were randomized. Of those, 243 were published (122 in the intervention group and 121 in the control group). A mean proportion of 69.3% (95% CI, 66.0%-72.7%) of the 10 CONSORT items were adequately reported in the intervention group and 66.6% (95% CI, 62.5%-70.7%) in the control group (mean difference, 2.7%; 95% CI, -2.6% to 8.0%). In the SPIRIT-PR trial, of the 244 randomized manuscripts, 178 were published (90 in the intervention group and 88 in the control group). A mean proportion of 46.1% (95% CI, 41.8%-50.4%) of the 10 SPIRIT items were adequately reported in the intervention group and 45.6% (95% CI, 41.7% to 49.4%) in the control group (mean difference, 0.5%; 95% CI, -5.2% to 6.3%). Conclusions and Relevance: These 2 randomized trials found that it was not useful to implement the tested intervention to increase reporting completeness in published articles. Other interventions should be assessed and considered in the future. Trial Registration: ClinicalTrials.gov Identifiers: NCT05820971 (CONSORT-PR) and NCT05820984 (SPIRIT-PR).","container-title":"JAMA Network Open","DOI":"10.1001/jamanetworkopen.2023.17651","ISSN":"2574-3805","issue":"6","page":"e2317651","title":"Reminding Peer Reviewers of Reporting Guideline Items to Improve Completeness in Published Articles: Primary Results of 2 Randomized Trials","volume":"6","author":[{"literal":"Speich B"},{"literal":"Mann E"},{"literal":"Schonenberger C M"},{"literal":"Mellor K"},{"literal":"Griessbach A N"},{"literal":"Dhiman P"},{"literal":"Gandhi P"},{"literal":"Lohner S"},{"literal":"Agarwal A"},{"literal":"Odutayo A"},{"literal":"Puebla I"},{"literal":"Clark A"},{"literal":"Chan A W"},{"literal":"Schlussel M M"},{"literal":"Ravaud P"},{"literal":"Moher D"},{"literal":"Briel M"},{"literal":"Boutron I"},{"literal":"Schroter S"},{"literal":"Hopewell S"}],"issued":{"date-parts":[["2023"]]}}}],"schema":"https://github.com/citation-style-language/schema/raw/master/csl-citation.json"} </w:instrText>
      </w:r>
      <w:r w:rsidR="790D0225" w:rsidRPr="008C17AC">
        <w:rPr>
          <w:rFonts w:ascii="Times New Roman" w:eastAsia="Times New Roman" w:hAnsi="Times New Roman" w:cs="Times New Roman"/>
        </w:rPr>
        <w:fldChar w:fldCharType="separate"/>
      </w:r>
      <w:r w:rsidR="003355E3" w:rsidRPr="008C17AC">
        <w:rPr>
          <w:rFonts w:ascii="Times New Roman" w:hAnsi="Times New Roman" w:cs="Times New Roman"/>
        </w:rPr>
        <w:t>[64,124]</w:t>
      </w:r>
      <w:r w:rsidR="790D0225" w:rsidRPr="008C17AC">
        <w:rPr>
          <w:rFonts w:ascii="Times New Roman" w:eastAsia="Times New Roman" w:hAnsi="Times New Roman" w:cs="Times New Roman"/>
        </w:rPr>
        <w:fldChar w:fldCharType="end"/>
      </w:r>
      <w:r w:rsidR="47EFF95B" w:rsidRPr="008C17AC">
        <w:rPr>
          <w:rFonts w:ascii="Times New Roman" w:eastAsia="Times New Roman" w:hAnsi="Times New Roman" w:cs="Times New Roman"/>
        </w:rPr>
        <w:t>.</w:t>
      </w:r>
      <w:r w:rsidR="330B7AA2" w:rsidRPr="008C17AC">
        <w:rPr>
          <w:rFonts w:ascii="Times New Roman" w:eastAsia="Times New Roman" w:hAnsi="Times New Roman" w:cs="Times New Roman"/>
        </w:rPr>
        <w:t xml:space="preserve"> The complete list can be found in Table </w:t>
      </w:r>
      <w:r w:rsidR="2A6F019A" w:rsidRPr="008C17AC">
        <w:rPr>
          <w:rFonts w:ascii="Times New Roman" w:eastAsia="Times New Roman" w:hAnsi="Times New Roman" w:cs="Times New Roman"/>
        </w:rPr>
        <w:t>2</w:t>
      </w:r>
      <w:r w:rsidR="330B7AA2" w:rsidRPr="008C17AC">
        <w:rPr>
          <w:rFonts w:ascii="Times New Roman" w:eastAsia="Times New Roman" w:hAnsi="Times New Roman" w:cs="Times New Roman"/>
        </w:rPr>
        <w:t>.</w:t>
      </w:r>
    </w:p>
    <w:p w14:paraId="73EAC9D4" w14:textId="0342F3A8" w:rsidR="13DB213B" w:rsidRPr="008C17AC" w:rsidRDefault="7169A164" w:rsidP="1A6C9FDE">
      <w:pPr>
        <w:spacing w:after="120" w:line="360" w:lineRule="auto"/>
        <w:ind w:left="-20" w:right="-20"/>
        <w:rPr>
          <w:rFonts w:ascii="Times New Roman" w:eastAsia="Times New Roman" w:hAnsi="Times New Roman" w:cs="Times New Roman"/>
          <w:b/>
          <w:bCs/>
          <w:i/>
          <w:iCs/>
        </w:rPr>
      </w:pPr>
      <w:r w:rsidRPr="008C17AC">
        <w:rPr>
          <w:rFonts w:ascii="Times New Roman" w:eastAsia="Times New Roman" w:hAnsi="Times New Roman" w:cs="Times New Roman"/>
        </w:rPr>
        <w:t>In 61 studies</w:t>
      </w:r>
      <w:r w:rsidR="5FD42874" w:rsidRPr="008C17AC">
        <w:rPr>
          <w:rFonts w:ascii="Times New Roman" w:eastAsia="Times New Roman" w:hAnsi="Times New Roman" w:cs="Times New Roman"/>
        </w:rPr>
        <w:t xml:space="preserve">, the </w:t>
      </w:r>
      <w:r w:rsidR="24C78E73" w:rsidRPr="008C17AC">
        <w:rPr>
          <w:rFonts w:ascii="Times New Roman" w:eastAsia="Times New Roman" w:hAnsi="Times New Roman" w:cs="Times New Roman"/>
        </w:rPr>
        <w:t>party issuing the intervention</w:t>
      </w:r>
      <w:r w:rsidR="70EF3BA0" w:rsidRPr="008C17AC">
        <w:rPr>
          <w:rFonts w:ascii="Times New Roman" w:eastAsia="Times New Roman" w:hAnsi="Times New Roman" w:cs="Times New Roman"/>
        </w:rPr>
        <w:t xml:space="preserve"> was the journal</w:t>
      </w:r>
      <w:r w:rsidR="24C78E73" w:rsidRPr="008C17AC">
        <w:rPr>
          <w:rFonts w:ascii="Times New Roman" w:eastAsia="Times New Roman" w:hAnsi="Times New Roman" w:cs="Times New Roman"/>
        </w:rPr>
        <w:t xml:space="preserve">, and in 15 studies, academic staff applied the intervention. </w:t>
      </w:r>
      <w:r w:rsidR="556DA5DC" w:rsidRPr="008C17AC">
        <w:rPr>
          <w:rFonts w:ascii="Times New Roman" w:eastAsia="Times New Roman" w:hAnsi="Times New Roman" w:cs="Times New Roman"/>
        </w:rPr>
        <w:t>A</w:t>
      </w:r>
      <w:r w:rsidR="138F50EF" w:rsidRPr="008C17AC">
        <w:rPr>
          <w:rFonts w:ascii="Times New Roman" w:eastAsia="Times New Roman" w:hAnsi="Times New Roman" w:cs="Times New Roman"/>
        </w:rPr>
        <w:t>cademic staff w</w:t>
      </w:r>
      <w:r w:rsidR="5F48D9DA" w:rsidRPr="008C17AC">
        <w:rPr>
          <w:rFonts w:ascii="Times New Roman" w:eastAsia="Times New Roman" w:hAnsi="Times New Roman" w:cs="Times New Roman"/>
        </w:rPr>
        <w:t>ere</w:t>
      </w:r>
      <w:r w:rsidR="6072344E" w:rsidRPr="008C17AC">
        <w:rPr>
          <w:rFonts w:ascii="Times New Roman" w:eastAsia="Times New Roman" w:hAnsi="Times New Roman" w:cs="Times New Roman"/>
        </w:rPr>
        <w:t xml:space="preserve"> the population </w:t>
      </w:r>
      <w:r w:rsidR="4339C710" w:rsidRPr="008C17AC">
        <w:rPr>
          <w:rFonts w:ascii="Times New Roman" w:eastAsia="Times New Roman" w:hAnsi="Times New Roman" w:cs="Times New Roman"/>
        </w:rPr>
        <w:t>onto whom the intervention was applied</w:t>
      </w:r>
      <w:r w:rsidR="138F50EF" w:rsidRPr="008C17AC">
        <w:rPr>
          <w:rFonts w:ascii="Times New Roman" w:eastAsia="Times New Roman" w:hAnsi="Times New Roman" w:cs="Times New Roman"/>
        </w:rPr>
        <w:t xml:space="preserve"> in 95 studies</w:t>
      </w:r>
      <w:r w:rsidR="457D35CE" w:rsidRPr="008C17AC">
        <w:rPr>
          <w:rFonts w:ascii="Times New Roman" w:eastAsia="Times New Roman" w:hAnsi="Times New Roman" w:cs="Times New Roman"/>
        </w:rPr>
        <w:t xml:space="preserve">, in most cases they were </w:t>
      </w:r>
      <w:r w:rsidR="3FA40832" w:rsidRPr="008C17AC">
        <w:rPr>
          <w:rFonts w:ascii="Times New Roman" w:eastAsia="Times New Roman" w:hAnsi="Times New Roman" w:cs="Times New Roman"/>
        </w:rPr>
        <w:t xml:space="preserve">only holistically referred to as “authors”. </w:t>
      </w:r>
      <w:r w:rsidR="03111700" w:rsidRPr="008C17AC">
        <w:rPr>
          <w:rFonts w:ascii="Times New Roman" w:eastAsia="Times New Roman" w:hAnsi="Times New Roman" w:cs="Times New Roman"/>
        </w:rPr>
        <w:t>T</w:t>
      </w:r>
      <w:r w:rsidR="54B98EBF" w:rsidRPr="008C17AC">
        <w:rPr>
          <w:rFonts w:ascii="Times New Roman" w:eastAsia="Times New Roman" w:hAnsi="Times New Roman" w:cs="Times New Roman"/>
        </w:rPr>
        <w:t xml:space="preserve">wo </w:t>
      </w:r>
      <w:r w:rsidR="602BCE1D" w:rsidRPr="008C17AC">
        <w:rPr>
          <w:rFonts w:ascii="Times New Roman" w:eastAsia="Times New Roman" w:hAnsi="Times New Roman" w:cs="Times New Roman"/>
        </w:rPr>
        <w:t xml:space="preserve">studies were aimed at </w:t>
      </w:r>
      <w:r w:rsidR="138F50EF" w:rsidRPr="008C17AC">
        <w:rPr>
          <w:rFonts w:ascii="Times New Roman" w:eastAsia="Times New Roman" w:hAnsi="Times New Roman" w:cs="Times New Roman"/>
        </w:rPr>
        <w:t>peer reviewer</w:t>
      </w:r>
      <w:r w:rsidR="58BC17AC" w:rsidRPr="008C17AC">
        <w:rPr>
          <w:rFonts w:ascii="Times New Roman" w:eastAsia="Times New Roman" w:hAnsi="Times New Roman" w:cs="Times New Roman"/>
        </w:rPr>
        <w:t>s</w:t>
      </w:r>
      <w:r w:rsidR="138F50EF" w:rsidRPr="008C17AC">
        <w:rPr>
          <w:rFonts w:ascii="Times New Roman" w:eastAsia="Times New Roman" w:hAnsi="Times New Roman" w:cs="Times New Roman"/>
        </w:rPr>
        <w:t xml:space="preserve"> and on</w:t>
      </w:r>
      <w:r w:rsidR="4199AF41" w:rsidRPr="008C17AC">
        <w:rPr>
          <w:rFonts w:ascii="Times New Roman" w:eastAsia="Times New Roman" w:hAnsi="Times New Roman" w:cs="Times New Roman"/>
        </w:rPr>
        <w:t>e</w:t>
      </w:r>
      <w:r w:rsidR="138F50EF" w:rsidRPr="008C17AC">
        <w:rPr>
          <w:rFonts w:ascii="Times New Roman" w:eastAsia="Times New Roman" w:hAnsi="Times New Roman" w:cs="Times New Roman"/>
        </w:rPr>
        <w:t xml:space="preserve"> </w:t>
      </w:r>
      <w:r w:rsidR="108CF2BF" w:rsidRPr="008C17AC">
        <w:rPr>
          <w:rFonts w:ascii="Times New Roman" w:eastAsia="Times New Roman" w:hAnsi="Times New Roman" w:cs="Times New Roman"/>
        </w:rPr>
        <w:t xml:space="preserve">focused </w:t>
      </w:r>
      <w:r w:rsidR="138F50EF" w:rsidRPr="008C17AC">
        <w:rPr>
          <w:rFonts w:ascii="Times New Roman" w:eastAsia="Times New Roman" w:hAnsi="Times New Roman" w:cs="Times New Roman"/>
        </w:rPr>
        <w:t xml:space="preserve">specifically </w:t>
      </w:r>
      <w:r w:rsidR="40CB3B56" w:rsidRPr="008C17AC">
        <w:rPr>
          <w:rFonts w:ascii="Times New Roman" w:eastAsia="Times New Roman" w:hAnsi="Times New Roman" w:cs="Times New Roman"/>
        </w:rPr>
        <w:t xml:space="preserve">on </w:t>
      </w:r>
      <w:r w:rsidR="138F50EF" w:rsidRPr="008C17AC">
        <w:rPr>
          <w:rFonts w:ascii="Times New Roman" w:eastAsia="Times New Roman" w:hAnsi="Times New Roman" w:cs="Times New Roman"/>
        </w:rPr>
        <w:t>PhD student</w:t>
      </w:r>
      <w:r w:rsidR="6E13A221" w:rsidRPr="008C17AC">
        <w:rPr>
          <w:rFonts w:ascii="Times New Roman" w:eastAsia="Times New Roman" w:hAnsi="Times New Roman" w:cs="Times New Roman"/>
        </w:rPr>
        <w:t>s</w:t>
      </w:r>
      <w:r w:rsidR="138F50EF" w:rsidRPr="008C17AC">
        <w:rPr>
          <w:rFonts w:ascii="Times New Roman" w:eastAsia="Times New Roman" w:hAnsi="Times New Roman" w:cs="Times New Roman"/>
        </w:rPr>
        <w:t xml:space="preserve">. </w:t>
      </w:r>
    </w:p>
    <w:p w14:paraId="6038E60C" w14:textId="23737EF5" w:rsidR="13DB213B" w:rsidRPr="008C17AC" w:rsidRDefault="0CE6C5BD" w:rsidP="1A6C9FDE">
      <w:pPr>
        <w:spacing w:after="120" w:line="360" w:lineRule="auto"/>
        <w:ind w:left="-20" w:right="-20"/>
        <w:rPr>
          <w:rFonts w:ascii="Times New Roman" w:eastAsia="Times New Roman" w:hAnsi="Times New Roman" w:cs="Times New Roman"/>
          <w:b/>
          <w:bCs/>
          <w:i/>
          <w:iCs/>
        </w:rPr>
      </w:pPr>
      <w:r w:rsidRPr="008C17AC">
        <w:rPr>
          <w:rFonts w:ascii="Times New Roman" w:eastAsia="Times New Roman" w:hAnsi="Times New Roman" w:cs="Times New Roman"/>
          <w:b/>
          <w:bCs/>
          <w:i/>
          <w:iCs/>
        </w:rPr>
        <w:t xml:space="preserve">Interventions not </w:t>
      </w:r>
      <w:r w:rsidR="1504CC8A" w:rsidRPr="008C17AC">
        <w:rPr>
          <w:rFonts w:ascii="Times New Roman" w:eastAsia="Times New Roman" w:hAnsi="Times New Roman" w:cs="Times New Roman"/>
          <w:b/>
          <w:bCs/>
          <w:i/>
          <w:iCs/>
        </w:rPr>
        <w:t>retrieved</w:t>
      </w:r>
    </w:p>
    <w:p w14:paraId="44575F56" w14:textId="3AAEFBB7" w:rsidR="13DB213B" w:rsidRPr="008C17AC" w:rsidRDefault="2A6F019A" w:rsidP="23EF21E2">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rPr>
        <w:t>O</w:t>
      </w:r>
      <w:r w:rsidR="12E0D947" w:rsidRPr="008C17AC">
        <w:rPr>
          <w:rFonts w:ascii="Times New Roman" w:eastAsia="Times New Roman" w:hAnsi="Times New Roman" w:cs="Times New Roman"/>
        </w:rPr>
        <w:t xml:space="preserve">f the </w:t>
      </w:r>
      <w:r w:rsidRPr="008C17AC">
        <w:rPr>
          <w:rFonts w:ascii="Times New Roman" w:eastAsia="Times New Roman" w:hAnsi="Times New Roman" w:cs="Times New Roman"/>
        </w:rPr>
        <w:t xml:space="preserve">69 </w:t>
      </w:r>
      <w:r w:rsidR="12E0D947" w:rsidRPr="008C17AC">
        <w:rPr>
          <w:rFonts w:ascii="Times New Roman" w:eastAsia="Times New Roman" w:hAnsi="Times New Roman" w:cs="Times New Roman"/>
        </w:rPr>
        <w:t xml:space="preserve">interventions included in our </w:t>
      </w:r>
      <w:r w:rsidRPr="008C17AC">
        <w:rPr>
          <w:rFonts w:ascii="Times New Roman" w:eastAsia="Times New Roman" w:hAnsi="Times New Roman" w:cs="Times New Roman"/>
        </w:rPr>
        <w:t>data-extraction sheet, 52</w:t>
      </w:r>
      <w:r w:rsidR="12E0D947" w:rsidRPr="008C17AC">
        <w:rPr>
          <w:rFonts w:ascii="Times New Roman" w:eastAsia="Times New Roman" w:hAnsi="Times New Roman" w:cs="Times New Roman"/>
        </w:rPr>
        <w:t xml:space="preserve"> were not investigated</w:t>
      </w:r>
      <w:r w:rsidRPr="008C17AC">
        <w:rPr>
          <w:rFonts w:ascii="Times New Roman" w:eastAsia="Times New Roman" w:hAnsi="Times New Roman" w:cs="Times New Roman"/>
        </w:rPr>
        <w:t xml:space="preserve"> in any of the included studies </w:t>
      </w:r>
      <w:r w:rsidR="0CE6C5BD" w:rsidRPr="008C17AC">
        <w:rPr>
          <w:rFonts w:ascii="Times New Roman" w:eastAsia="Times New Roman" w:hAnsi="Times New Roman" w:cs="Times New Roman"/>
        </w:rPr>
        <w:t>(Supplement</w:t>
      </w:r>
      <w:r w:rsidRPr="008C17AC">
        <w:rPr>
          <w:rFonts w:ascii="Times New Roman" w:eastAsia="Times New Roman" w:hAnsi="Times New Roman" w:cs="Times New Roman"/>
        </w:rPr>
        <w:t>ary File</w:t>
      </w:r>
      <w:r w:rsidR="0CE6C5BD" w:rsidRPr="008C17AC">
        <w:rPr>
          <w:rFonts w:ascii="Times New Roman" w:eastAsia="Times New Roman" w:hAnsi="Times New Roman" w:cs="Times New Roman"/>
        </w:rPr>
        <w:t xml:space="preserve"> </w:t>
      </w:r>
      <w:r w:rsidRPr="008C17AC">
        <w:rPr>
          <w:rFonts w:ascii="Times New Roman" w:eastAsia="Times New Roman" w:hAnsi="Times New Roman" w:cs="Times New Roman"/>
        </w:rPr>
        <w:t>4</w:t>
      </w:r>
      <w:r w:rsidR="0CE6C5BD" w:rsidRPr="008C17AC">
        <w:rPr>
          <w:rFonts w:ascii="Times New Roman" w:eastAsia="Times New Roman" w:hAnsi="Times New Roman" w:cs="Times New Roman"/>
        </w:rPr>
        <w:t xml:space="preserve">). </w:t>
      </w:r>
      <w:r w:rsidR="30C2788E" w:rsidRPr="008C17AC">
        <w:rPr>
          <w:rFonts w:ascii="Times New Roman" w:eastAsia="Times New Roman" w:hAnsi="Times New Roman" w:cs="Times New Roman"/>
        </w:rPr>
        <w:t>These can be considered gaps in the evidence we re</w:t>
      </w:r>
      <w:r w:rsidR="67A4D32A" w:rsidRPr="008C17AC">
        <w:rPr>
          <w:rFonts w:ascii="Times New Roman" w:eastAsia="Times New Roman" w:hAnsi="Times New Roman" w:cs="Times New Roman"/>
        </w:rPr>
        <w:t>covered</w:t>
      </w:r>
      <w:r w:rsidR="30C2788E" w:rsidRPr="008C17AC">
        <w:rPr>
          <w:rFonts w:ascii="Times New Roman" w:eastAsia="Times New Roman" w:hAnsi="Times New Roman" w:cs="Times New Roman"/>
        </w:rPr>
        <w:t xml:space="preserve">. </w:t>
      </w:r>
      <w:r w:rsidR="190AA1C4" w:rsidRPr="008C17AC">
        <w:rPr>
          <w:rFonts w:ascii="Times New Roman" w:eastAsia="Times New Roman" w:hAnsi="Times New Roman" w:cs="Times New Roman"/>
        </w:rPr>
        <w:t xml:space="preserve">Examples are </w:t>
      </w:r>
      <w:r w:rsidR="30C2788E" w:rsidRPr="008C17AC">
        <w:rPr>
          <w:rFonts w:ascii="Times New Roman" w:eastAsia="Times New Roman" w:hAnsi="Times New Roman" w:cs="Times New Roman"/>
        </w:rPr>
        <w:t>interventions such as retractions and funding statements. Also</w:t>
      </w:r>
      <w:r w:rsidR="2DA40B97" w:rsidRPr="008C17AC">
        <w:rPr>
          <w:rFonts w:ascii="Times New Roman" w:eastAsia="Times New Roman" w:hAnsi="Times New Roman" w:cs="Times New Roman"/>
        </w:rPr>
        <w:t>,</w:t>
      </w:r>
      <w:r w:rsidR="30C2788E" w:rsidRPr="008C17AC">
        <w:rPr>
          <w:rFonts w:ascii="Times New Roman" w:eastAsia="Times New Roman" w:hAnsi="Times New Roman" w:cs="Times New Roman"/>
        </w:rPr>
        <w:t xml:space="preserve"> typical open science interventions, such as </w:t>
      </w:r>
      <w:r w:rsidR="190AA1C4" w:rsidRPr="008C17AC">
        <w:rPr>
          <w:rFonts w:ascii="Times New Roman" w:eastAsia="Times New Roman" w:hAnsi="Times New Roman" w:cs="Times New Roman"/>
        </w:rPr>
        <w:t>data availability</w:t>
      </w:r>
      <w:r w:rsidR="30C2788E" w:rsidRPr="008C17AC">
        <w:rPr>
          <w:rFonts w:ascii="Times New Roman" w:eastAsia="Times New Roman" w:hAnsi="Times New Roman" w:cs="Times New Roman"/>
        </w:rPr>
        <w:t>,</w:t>
      </w:r>
      <w:r w:rsidR="190AA1C4" w:rsidRPr="008C17AC">
        <w:rPr>
          <w:rFonts w:ascii="Times New Roman" w:eastAsia="Times New Roman" w:hAnsi="Times New Roman" w:cs="Times New Roman"/>
        </w:rPr>
        <w:t xml:space="preserve"> FAIR data</w:t>
      </w:r>
      <w:r w:rsidR="30C2788E" w:rsidRPr="008C17AC">
        <w:rPr>
          <w:rFonts w:ascii="Times New Roman" w:eastAsia="Times New Roman" w:hAnsi="Times New Roman" w:cs="Times New Roman"/>
        </w:rPr>
        <w:t>,</w:t>
      </w:r>
      <w:r w:rsidR="190AA1C4" w:rsidRPr="008C17AC">
        <w:rPr>
          <w:rFonts w:ascii="Times New Roman" w:eastAsia="Times New Roman" w:hAnsi="Times New Roman" w:cs="Times New Roman"/>
        </w:rPr>
        <w:t xml:space="preserve"> </w:t>
      </w:r>
      <w:r w:rsidR="30C2788E" w:rsidRPr="008C17AC">
        <w:rPr>
          <w:rFonts w:ascii="Times New Roman" w:eastAsia="Times New Roman" w:hAnsi="Times New Roman" w:cs="Times New Roman"/>
        </w:rPr>
        <w:t xml:space="preserve">open science ethics, open peer review and open evaluations </w:t>
      </w:r>
      <w:r w:rsidR="1453D4FA" w:rsidRPr="008C17AC">
        <w:rPr>
          <w:rFonts w:ascii="Times New Roman" w:eastAsia="Times New Roman" w:hAnsi="Times New Roman" w:cs="Times New Roman"/>
        </w:rPr>
        <w:t>ar</w:t>
      </w:r>
      <w:r w:rsidR="36433A40" w:rsidRPr="008C17AC">
        <w:rPr>
          <w:rFonts w:ascii="Times New Roman" w:eastAsia="Times New Roman" w:hAnsi="Times New Roman" w:cs="Times New Roman"/>
        </w:rPr>
        <w:t>e lacking in our dataset.</w:t>
      </w:r>
      <w:r w:rsidR="0A2C790E" w:rsidRPr="008C17AC">
        <w:rPr>
          <w:rFonts w:ascii="Times New Roman" w:eastAsia="Times New Roman" w:hAnsi="Times New Roman" w:cs="Times New Roman"/>
        </w:rPr>
        <w:t xml:space="preserve"> </w:t>
      </w:r>
      <w:r w:rsidR="014C5C85" w:rsidRPr="008C17AC">
        <w:rPr>
          <w:rFonts w:ascii="Times New Roman" w:eastAsia="Times New Roman" w:hAnsi="Times New Roman" w:cs="Times New Roman"/>
        </w:rPr>
        <w:t>We did not retrieve</w:t>
      </w:r>
      <w:r w:rsidR="0A2C790E" w:rsidRPr="008C17AC">
        <w:rPr>
          <w:rFonts w:ascii="Times New Roman" w:eastAsia="Times New Roman" w:hAnsi="Times New Roman" w:cs="Times New Roman"/>
        </w:rPr>
        <w:t xml:space="preserve"> studies </w:t>
      </w:r>
      <w:r w:rsidR="7FAEA614" w:rsidRPr="008C17AC">
        <w:rPr>
          <w:rFonts w:ascii="Times New Roman" w:eastAsia="Times New Roman" w:hAnsi="Times New Roman" w:cs="Times New Roman"/>
        </w:rPr>
        <w:t>tha</w:t>
      </w:r>
      <w:r w:rsidR="0A2C790E" w:rsidRPr="008C17AC">
        <w:rPr>
          <w:rFonts w:ascii="Times New Roman" w:eastAsia="Times New Roman" w:hAnsi="Times New Roman" w:cs="Times New Roman"/>
        </w:rPr>
        <w:t>t investigated their effect on reproducibility.</w:t>
      </w:r>
    </w:p>
    <w:p w14:paraId="6A46ADA1" w14:textId="2E119F65" w:rsidR="13DB213B" w:rsidRPr="008C17AC" w:rsidRDefault="13DB213B" w:rsidP="009E0421">
      <w:pPr>
        <w:spacing w:after="120" w:line="360" w:lineRule="auto"/>
        <w:ind w:right="-20"/>
        <w:rPr>
          <w:rFonts w:ascii="Times New Roman" w:hAnsi="Times New Roman" w:cs="Times New Roman"/>
          <w:u w:val="single"/>
        </w:rPr>
      </w:pPr>
    </w:p>
    <w:p w14:paraId="70FB3D89" w14:textId="751CBACF" w:rsidR="18E594C2" w:rsidRPr="008C17AC" w:rsidRDefault="3935E879" w:rsidP="47AB2BE1">
      <w:pPr>
        <w:spacing w:after="120" w:line="360" w:lineRule="auto"/>
        <w:ind w:left="-20" w:right="-20"/>
        <w:rPr>
          <w:rFonts w:ascii="Times New Roman" w:eastAsia="Times New Roman" w:hAnsi="Times New Roman" w:cs="Times New Roman"/>
          <w:b/>
          <w:bCs/>
        </w:rPr>
      </w:pPr>
      <w:r w:rsidRPr="008C17AC">
        <w:rPr>
          <w:rFonts w:ascii="Times New Roman" w:eastAsia="Times New Roman" w:hAnsi="Times New Roman" w:cs="Times New Roman"/>
          <w:b/>
          <w:bCs/>
        </w:rPr>
        <w:t xml:space="preserve">Table </w:t>
      </w:r>
      <w:r w:rsidR="6CBB944F" w:rsidRPr="008C17AC">
        <w:rPr>
          <w:rFonts w:ascii="Times New Roman" w:eastAsia="Times New Roman" w:hAnsi="Times New Roman" w:cs="Times New Roman"/>
          <w:b/>
          <w:bCs/>
        </w:rPr>
        <w:t>2</w:t>
      </w:r>
      <w:r w:rsidR="009B0905" w:rsidRPr="008C17AC">
        <w:rPr>
          <w:rFonts w:ascii="Times New Roman" w:eastAsia="Times New Roman" w:hAnsi="Times New Roman" w:cs="Times New Roman"/>
          <w:b/>
          <w:bCs/>
        </w:rPr>
        <w:t>.</w:t>
      </w:r>
      <w:r w:rsidRPr="008C17AC">
        <w:rPr>
          <w:rFonts w:ascii="Times New Roman" w:eastAsia="Times New Roman" w:hAnsi="Times New Roman" w:cs="Times New Roman"/>
          <w:b/>
          <w:bCs/>
        </w:rPr>
        <w:t xml:space="preserve"> List of interventions</w:t>
      </w:r>
      <w:r w:rsidR="00502DA8" w:rsidRPr="008C17AC">
        <w:rPr>
          <w:rFonts w:ascii="Times New Roman" w:eastAsia="Times New Roman" w:hAnsi="Times New Roman" w:cs="Times New Roman"/>
          <w:b/>
          <w:bCs/>
        </w:rPr>
        <w:t xml:space="preserve"> implemented in the included studies</w:t>
      </w:r>
      <w:r w:rsidR="00DD3F80" w:rsidRPr="008C17AC">
        <w:rPr>
          <w:rFonts w:ascii="Times New Roman" w:eastAsia="Times New Roman" w:hAnsi="Times New Roman" w:cs="Times New Roman"/>
          <w:b/>
          <w:bCs/>
        </w:rPr>
        <w:t xml:space="preserve"> (n = 104)</w:t>
      </w:r>
      <w:r w:rsidR="00502DA8" w:rsidRPr="008C17AC">
        <w:rPr>
          <w:rFonts w:ascii="Times New Roman" w:eastAsia="Times New Roman" w:hAnsi="Times New Roman" w:cs="Times New Roman"/>
          <w:b/>
          <w:bCs/>
        </w:rPr>
        <w:t>.</w:t>
      </w:r>
    </w:p>
    <w:tbl>
      <w:tblPr>
        <w:tblStyle w:val="Tabelrasterlic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3313"/>
        <w:gridCol w:w="414"/>
        <w:gridCol w:w="664"/>
        <w:gridCol w:w="3542"/>
        <w:gridCol w:w="426"/>
        <w:gridCol w:w="708"/>
      </w:tblGrid>
      <w:tr w:rsidR="005D7301" w:rsidRPr="008C17AC" w14:paraId="0A3A0EFC" w14:textId="77777777" w:rsidTr="009E0421">
        <w:trPr>
          <w:trHeight w:val="227"/>
        </w:trPr>
        <w:tc>
          <w:tcPr>
            <w:tcW w:w="3313" w:type="dxa"/>
            <w:hideMark/>
          </w:tcPr>
          <w:p w14:paraId="75B5C851" w14:textId="28D9B67C" w:rsidR="002030DB" w:rsidRPr="008C17AC" w:rsidRDefault="002030DB" w:rsidP="002030DB">
            <w:pPr>
              <w:spacing w:line="216" w:lineRule="auto"/>
              <w:rPr>
                <w:rFonts w:ascii="Times New Roman" w:hAnsi="Times New Roman" w:cs="Times New Roman"/>
                <w:b/>
                <w:bCs/>
                <w:sz w:val="20"/>
                <w:szCs w:val="20"/>
              </w:rPr>
            </w:pPr>
            <w:r w:rsidRPr="008C17AC">
              <w:rPr>
                <w:rFonts w:ascii="Times New Roman" w:hAnsi="Times New Roman" w:cs="Times New Roman"/>
                <w:b/>
                <w:bCs/>
                <w:sz w:val="20"/>
                <w:szCs w:val="20"/>
              </w:rPr>
              <w:t>Intervention</w:t>
            </w:r>
            <w:r w:rsidR="00373E23" w:rsidRPr="008C17AC">
              <w:rPr>
                <w:rFonts w:ascii="Times New Roman" w:hAnsi="Times New Roman" w:cs="Times New Roman"/>
                <w:b/>
                <w:bCs/>
                <w:sz w:val="20"/>
                <w:szCs w:val="20"/>
              </w:rPr>
              <w:t xml:space="preserve"> </w:t>
            </w:r>
            <w:r w:rsidRPr="008C17AC">
              <w:rPr>
                <w:rFonts w:ascii="Times New Roman" w:hAnsi="Times New Roman" w:cs="Times New Roman"/>
                <w:b/>
                <w:bCs/>
                <w:sz w:val="20"/>
                <w:szCs w:val="20"/>
              </w:rPr>
              <w:t>class</w:t>
            </w:r>
            <w:r w:rsidR="004165D1" w:rsidRPr="008C17AC">
              <w:rPr>
                <w:rFonts w:ascii="Times New Roman" w:hAnsi="Times New Roman" w:cs="Times New Roman"/>
                <w:b/>
                <w:bCs/>
                <w:sz w:val="20"/>
                <w:szCs w:val="20"/>
              </w:rPr>
              <w:t xml:space="preserve"> </w:t>
            </w:r>
            <w:r w:rsidR="00A13716" w:rsidRPr="008C17AC">
              <w:rPr>
                <w:rFonts w:ascii="Times New Roman" w:hAnsi="Times New Roman" w:cs="Times New Roman"/>
                <w:b/>
                <w:bCs/>
                <w:sz w:val="20"/>
                <w:szCs w:val="20"/>
              </w:rPr>
              <w:t>and</w:t>
            </w:r>
            <w:r w:rsidR="004165D1" w:rsidRPr="008C17AC">
              <w:rPr>
                <w:rFonts w:ascii="Times New Roman" w:hAnsi="Times New Roman" w:cs="Times New Roman"/>
                <w:b/>
                <w:bCs/>
                <w:sz w:val="20"/>
                <w:szCs w:val="20"/>
              </w:rPr>
              <w:t xml:space="preserve"> sub</w:t>
            </w:r>
            <w:r w:rsidR="00A13716" w:rsidRPr="008C17AC">
              <w:rPr>
                <w:rFonts w:ascii="Times New Roman" w:hAnsi="Times New Roman" w:cs="Times New Roman"/>
                <w:b/>
                <w:bCs/>
                <w:sz w:val="20"/>
                <w:szCs w:val="20"/>
              </w:rPr>
              <w:t>c</w:t>
            </w:r>
            <w:r w:rsidR="004165D1" w:rsidRPr="008C17AC">
              <w:rPr>
                <w:rFonts w:ascii="Times New Roman" w:hAnsi="Times New Roman" w:cs="Times New Roman"/>
                <w:b/>
                <w:bCs/>
                <w:sz w:val="20"/>
                <w:szCs w:val="20"/>
              </w:rPr>
              <w:t>lasses</w:t>
            </w:r>
          </w:p>
        </w:tc>
        <w:tc>
          <w:tcPr>
            <w:tcW w:w="414" w:type="dxa"/>
            <w:noWrap/>
            <w:hideMark/>
          </w:tcPr>
          <w:p w14:paraId="59D2D2E5" w14:textId="77777777" w:rsidR="002030DB" w:rsidRPr="008C17AC" w:rsidRDefault="002030DB" w:rsidP="00F30987">
            <w:pPr>
              <w:spacing w:line="216" w:lineRule="auto"/>
              <w:jc w:val="center"/>
              <w:rPr>
                <w:rFonts w:ascii="Times New Roman" w:hAnsi="Times New Roman" w:cs="Times New Roman"/>
                <w:b/>
                <w:bCs/>
                <w:sz w:val="20"/>
                <w:szCs w:val="20"/>
              </w:rPr>
            </w:pPr>
            <w:r w:rsidRPr="008C17AC">
              <w:rPr>
                <w:rFonts w:ascii="Times New Roman" w:hAnsi="Times New Roman" w:cs="Times New Roman"/>
                <w:b/>
                <w:bCs/>
                <w:sz w:val="20"/>
                <w:szCs w:val="20"/>
              </w:rPr>
              <w:t>n</w:t>
            </w:r>
          </w:p>
        </w:tc>
        <w:tc>
          <w:tcPr>
            <w:tcW w:w="664" w:type="dxa"/>
            <w:noWrap/>
            <w:hideMark/>
          </w:tcPr>
          <w:p w14:paraId="07F1849F" w14:textId="77777777" w:rsidR="002030DB" w:rsidRPr="008C17AC" w:rsidRDefault="002030DB" w:rsidP="00F30987">
            <w:pPr>
              <w:spacing w:line="216" w:lineRule="auto"/>
              <w:jc w:val="center"/>
              <w:rPr>
                <w:rFonts w:ascii="Times New Roman" w:hAnsi="Times New Roman" w:cs="Times New Roman"/>
                <w:b/>
                <w:bCs/>
                <w:sz w:val="20"/>
                <w:szCs w:val="20"/>
              </w:rPr>
            </w:pPr>
            <w:r w:rsidRPr="008C17AC">
              <w:rPr>
                <w:rFonts w:ascii="Times New Roman" w:hAnsi="Times New Roman" w:cs="Times New Roman"/>
                <w:b/>
                <w:bCs/>
                <w:sz w:val="20"/>
                <w:szCs w:val="20"/>
              </w:rPr>
              <w:t>%</w:t>
            </w:r>
          </w:p>
        </w:tc>
        <w:tc>
          <w:tcPr>
            <w:tcW w:w="3542" w:type="dxa"/>
            <w:hideMark/>
          </w:tcPr>
          <w:p w14:paraId="57796AAD" w14:textId="7FBA6BEE" w:rsidR="002030DB" w:rsidRPr="008C17AC" w:rsidRDefault="002030DB" w:rsidP="002030DB">
            <w:pPr>
              <w:spacing w:line="216" w:lineRule="auto"/>
              <w:rPr>
                <w:rFonts w:ascii="Times New Roman" w:hAnsi="Times New Roman" w:cs="Times New Roman"/>
                <w:b/>
                <w:bCs/>
                <w:sz w:val="20"/>
                <w:szCs w:val="20"/>
              </w:rPr>
            </w:pPr>
            <w:r w:rsidRPr="008C17AC">
              <w:rPr>
                <w:rFonts w:ascii="Times New Roman" w:hAnsi="Times New Roman" w:cs="Times New Roman"/>
                <w:b/>
                <w:bCs/>
                <w:sz w:val="20"/>
                <w:szCs w:val="20"/>
              </w:rPr>
              <w:t>Intervention</w:t>
            </w:r>
            <w:r w:rsidR="00373E23" w:rsidRPr="008C17AC">
              <w:rPr>
                <w:rFonts w:ascii="Times New Roman" w:hAnsi="Times New Roman" w:cs="Times New Roman"/>
                <w:b/>
                <w:bCs/>
                <w:sz w:val="20"/>
                <w:szCs w:val="20"/>
              </w:rPr>
              <w:t xml:space="preserve"> </w:t>
            </w:r>
            <w:r w:rsidRPr="008C17AC">
              <w:rPr>
                <w:rFonts w:ascii="Times New Roman" w:hAnsi="Times New Roman" w:cs="Times New Roman"/>
                <w:b/>
                <w:bCs/>
                <w:sz w:val="20"/>
                <w:szCs w:val="20"/>
              </w:rPr>
              <w:t>specifics</w:t>
            </w:r>
          </w:p>
        </w:tc>
        <w:tc>
          <w:tcPr>
            <w:tcW w:w="426" w:type="dxa"/>
            <w:noWrap/>
            <w:hideMark/>
          </w:tcPr>
          <w:p w14:paraId="67FE6169" w14:textId="77777777" w:rsidR="002030DB" w:rsidRPr="008C17AC" w:rsidRDefault="002030DB" w:rsidP="00F30987">
            <w:pPr>
              <w:spacing w:line="216" w:lineRule="auto"/>
              <w:jc w:val="center"/>
              <w:rPr>
                <w:rFonts w:ascii="Times New Roman" w:hAnsi="Times New Roman" w:cs="Times New Roman"/>
                <w:b/>
                <w:bCs/>
                <w:sz w:val="20"/>
                <w:szCs w:val="20"/>
              </w:rPr>
            </w:pPr>
            <w:r w:rsidRPr="008C17AC">
              <w:rPr>
                <w:rFonts w:ascii="Times New Roman" w:hAnsi="Times New Roman" w:cs="Times New Roman"/>
                <w:b/>
                <w:bCs/>
                <w:sz w:val="20"/>
                <w:szCs w:val="20"/>
              </w:rPr>
              <w:t>n</w:t>
            </w:r>
          </w:p>
        </w:tc>
        <w:tc>
          <w:tcPr>
            <w:tcW w:w="708" w:type="dxa"/>
            <w:noWrap/>
            <w:hideMark/>
          </w:tcPr>
          <w:p w14:paraId="24EBEEEF" w14:textId="77777777" w:rsidR="002030DB" w:rsidRPr="008C17AC" w:rsidRDefault="002030DB" w:rsidP="00F30987">
            <w:pPr>
              <w:spacing w:line="216" w:lineRule="auto"/>
              <w:jc w:val="center"/>
              <w:rPr>
                <w:rFonts w:ascii="Times New Roman" w:hAnsi="Times New Roman" w:cs="Times New Roman"/>
                <w:b/>
                <w:bCs/>
                <w:sz w:val="20"/>
                <w:szCs w:val="20"/>
              </w:rPr>
            </w:pPr>
            <w:r w:rsidRPr="008C17AC">
              <w:rPr>
                <w:rFonts w:ascii="Times New Roman" w:hAnsi="Times New Roman" w:cs="Times New Roman"/>
                <w:b/>
                <w:bCs/>
                <w:sz w:val="20"/>
                <w:szCs w:val="20"/>
              </w:rPr>
              <w:t>%</w:t>
            </w:r>
          </w:p>
        </w:tc>
      </w:tr>
      <w:tr w:rsidR="005D7301" w:rsidRPr="008C17AC" w14:paraId="03F6BEDF" w14:textId="77777777" w:rsidTr="009E0421">
        <w:trPr>
          <w:trHeight w:val="227"/>
        </w:trPr>
        <w:tc>
          <w:tcPr>
            <w:tcW w:w="3313" w:type="dxa"/>
            <w:hideMark/>
          </w:tcPr>
          <w:p w14:paraId="705D89F3" w14:textId="77777777" w:rsidR="00BB0C46" w:rsidRPr="008C17AC" w:rsidRDefault="00BB0C46" w:rsidP="002030DB">
            <w:pPr>
              <w:spacing w:line="216" w:lineRule="auto"/>
              <w:rPr>
                <w:rFonts w:ascii="Times New Roman" w:hAnsi="Times New Roman" w:cs="Times New Roman"/>
                <w:b/>
                <w:bCs/>
                <w:sz w:val="20"/>
                <w:szCs w:val="20"/>
              </w:rPr>
            </w:pPr>
            <w:r w:rsidRPr="008C17AC">
              <w:rPr>
                <w:rFonts w:ascii="Times New Roman" w:hAnsi="Times New Roman" w:cs="Times New Roman"/>
                <w:b/>
                <w:bCs/>
                <w:sz w:val="20"/>
                <w:szCs w:val="20"/>
              </w:rPr>
              <w:t>Open methodology</w:t>
            </w:r>
          </w:p>
        </w:tc>
        <w:tc>
          <w:tcPr>
            <w:tcW w:w="5754" w:type="dxa"/>
            <w:gridSpan w:val="5"/>
            <w:noWrap/>
            <w:hideMark/>
          </w:tcPr>
          <w:p w14:paraId="62878499" w14:textId="355FF434" w:rsidR="00BB0C46" w:rsidRPr="008C17AC" w:rsidRDefault="00BB0C46" w:rsidP="00F30987">
            <w:pPr>
              <w:spacing w:line="216" w:lineRule="auto"/>
              <w:jc w:val="center"/>
              <w:rPr>
                <w:rFonts w:ascii="Times New Roman" w:hAnsi="Times New Roman" w:cs="Times New Roman"/>
                <w:sz w:val="20"/>
                <w:szCs w:val="20"/>
              </w:rPr>
            </w:pPr>
          </w:p>
        </w:tc>
      </w:tr>
      <w:tr w:rsidR="008C17AC" w:rsidRPr="008C17AC" w14:paraId="4FD4F3BA" w14:textId="77777777" w:rsidTr="009E0421">
        <w:trPr>
          <w:trHeight w:val="227"/>
        </w:trPr>
        <w:tc>
          <w:tcPr>
            <w:tcW w:w="3313" w:type="dxa"/>
            <w:hideMark/>
          </w:tcPr>
          <w:p w14:paraId="2C0529F5" w14:textId="77777777" w:rsidR="002030DB" w:rsidRPr="008C17AC" w:rsidRDefault="002030DB"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Open protocol</w:t>
            </w:r>
          </w:p>
        </w:tc>
        <w:tc>
          <w:tcPr>
            <w:tcW w:w="414" w:type="dxa"/>
            <w:noWrap/>
            <w:hideMark/>
          </w:tcPr>
          <w:p w14:paraId="5D2777A4"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664" w:type="dxa"/>
            <w:noWrap/>
            <w:hideMark/>
          </w:tcPr>
          <w:p w14:paraId="4E25AE09"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c>
          <w:tcPr>
            <w:tcW w:w="3542" w:type="dxa"/>
            <w:hideMark/>
          </w:tcPr>
          <w:p w14:paraId="169278D9" w14:textId="77777777" w:rsidR="002030DB" w:rsidRPr="008C17AC" w:rsidRDefault="002030DB"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publication of protocol</w:t>
            </w:r>
          </w:p>
        </w:tc>
        <w:tc>
          <w:tcPr>
            <w:tcW w:w="426" w:type="dxa"/>
            <w:noWrap/>
            <w:hideMark/>
          </w:tcPr>
          <w:p w14:paraId="0C32CDB0"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708" w:type="dxa"/>
            <w:noWrap/>
            <w:hideMark/>
          </w:tcPr>
          <w:p w14:paraId="14099CE7"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r>
      <w:tr w:rsidR="008C17AC" w:rsidRPr="008C17AC" w14:paraId="2D37DE7C" w14:textId="77777777" w:rsidTr="009E0421">
        <w:trPr>
          <w:trHeight w:val="227"/>
        </w:trPr>
        <w:tc>
          <w:tcPr>
            <w:tcW w:w="3313" w:type="dxa"/>
            <w:hideMark/>
          </w:tcPr>
          <w:p w14:paraId="37970E0C" w14:textId="77777777" w:rsidR="002030DB" w:rsidRPr="008C17AC" w:rsidRDefault="002030DB"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Pre-registration, study registration, analysis plan</w:t>
            </w:r>
          </w:p>
        </w:tc>
        <w:tc>
          <w:tcPr>
            <w:tcW w:w="414" w:type="dxa"/>
            <w:noWrap/>
            <w:hideMark/>
          </w:tcPr>
          <w:p w14:paraId="3902B648"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5</w:t>
            </w:r>
          </w:p>
        </w:tc>
        <w:tc>
          <w:tcPr>
            <w:tcW w:w="664" w:type="dxa"/>
            <w:noWrap/>
            <w:hideMark/>
          </w:tcPr>
          <w:p w14:paraId="3817AC6B"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4.81</w:t>
            </w:r>
          </w:p>
        </w:tc>
        <w:tc>
          <w:tcPr>
            <w:tcW w:w="3542" w:type="dxa"/>
            <w:hideMark/>
          </w:tcPr>
          <w:p w14:paraId="7F3E4A8D" w14:textId="77777777" w:rsidR="002030DB" w:rsidRPr="008C17AC" w:rsidRDefault="002030DB"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preregistration</w:t>
            </w:r>
          </w:p>
        </w:tc>
        <w:tc>
          <w:tcPr>
            <w:tcW w:w="426" w:type="dxa"/>
            <w:noWrap/>
            <w:hideMark/>
          </w:tcPr>
          <w:p w14:paraId="13BF0095"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5</w:t>
            </w:r>
          </w:p>
        </w:tc>
        <w:tc>
          <w:tcPr>
            <w:tcW w:w="708" w:type="dxa"/>
            <w:noWrap/>
            <w:hideMark/>
          </w:tcPr>
          <w:p w14:paraId="21860343"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4.81</w:t>
            </w:r>
          </w:p>
        </w:tc>
      </w:tr>
      <w:tr w:rsidR="008C17AC" w:rsidRPr="008C17AC" w14:paraId="01E394EA" w14:textId="77777777" w:rsidTr="009E0421">
        <w:trPr>
          <w:trHeight w:val="227"/>
        </w:trPr>
        <w:tc>
          <w:tcPr>
            <w:tcW w:w="3313" w:type="dxa"/>
            <w:hideMark/>
          </w:tcPr>
          <w:p w14:paraId="535EF6EA" w14:textId="0952F65B" w:rsidR="002030DB" w:rsidRPr="008C17AC" w:rsidRDefault="002030DB"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Registered report</w:t>
            </w:r>
            <w:r w:rsidR="002902C4" w:rsidRPr="008C17AC">
              <w:rPr>
                <w:rFonts w:ascii="Times New Roman" w:hAnsi="Times New Roman" w:cs="Times New Roman"/>
                <w:sz w:val="20"/>
                <w:szCs w:val="20"/>
              </w:rPr>
              <w:t>s</w:t>
            </w:r>
          </w:p>
        </w:tc>
        <w:tc>
          <w:tcPr>
            <w:tcW w:w="414" w:type="dxa"/>
            <w:noWrap/>
            <w:hideMark/>
          </w:tcPr>
          <w:p w14:paraId="7D334DDD"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2</w:t>
            </w:r>
          </w:p>
        </w:tc>
        <w:tc>
          <w:tcPr>
            <w:tcW w:w="664" w:type="dxa"/>
            <w:noWrap/>
            <w:hideMark/>
          </w:tcPr>
          <w:p w14:paraId="343F15D7"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1.92</w:t>
            </w:r>
          </w:p>
        </w:tc>
        <w:tc>
          <w:tcPr>
            <w:tcW w:w="3542" w:type="dxa"/>
            <w:hideMark/>
          </w:tcPr>
          <w:p w14:paraId="7335AB00" w14:textId="4C30DB1E" w:rsidR="002030DB" w:rsidRPr="008C17AC" w:rsidRDefault="002030DB"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registered report</w:t>
            </w:r>
            <w:r w:rsidR="002902C4" w:rsidRPr="008C17AC">
              <w:rPr>
                <w:rFonts w:ascii="Times New Roman" w:hAnsi="Times New Roman" w:cs="Times New Roman"/>
                <w:sz w:val="20"/>
                <w:szCs w:val="20"/>
              </w:rPr>
              <w:t>s</w:t>
            </w:r>
          </w:p>
        </w:tc>
        <w:tc>
          <w:tcPr>
            <w:tcW w:w="426" w:type="dxa"/>
            <w:noWrap/>
            <w:hideMark/>
          </w:tcPr>
          <w:p w14:paraId="6CEE0D4B"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2</w:t>
            </w:r>
          </w:p>
        </w:tc>
        <w:tc>
          <w:tcPr>
            <w:tcW w:w="708" w:type="dxa"/>
            <w:noWrap/>
            <w:hideMark/>
          </w:tcPr>
          <w:p w14:paraId="0380DE7A"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1.92</w:t>
            </w:r>
          </w:p>
        </w:tc>
      </w:tr>
      <w:tr w:rsidR="008C17AC" w:rsidRPr="008C17AC" w14:paraId="5A30CED9" w14:textId="77777777" w:rsidTr="009E0421">
        <w:trPr>
          <w:trHeight w:val="227"/>
        </w:trPr>
        <w:tc>
          <w:tcPr>
            <w:tcW w:w="3313" w:type="dxa"/>
            <w:hideMark/>
          </w:tcPr>
          <w:p w14:paraId="12D47707" w14:textId="77777777" w:rsidR="002030DB" w:rsidRPr="008C17AC" w:rsidRDefault="002030DB"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Project workflow</w:t>
            </w:r>
          </w:p>
        </w:tc>
        <w:tc>
          <w:tcPr>
            <w:tcW w:w="414" w:type="dxa"/>
            <w:noWrap/>
            <w:hideMark/>
          </w:tcPr>
          <w:p w14:paraId="7BE70CDA"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2</w:t>
            </w:r>
          </w:p>
        </w:tc>
        <w:tc>
          <w:tcPr>
            <w:tcW w:w="664" w:type="dxa"/>
            <w:noWrap/>
            <w:hideMark/>
          </w:tcPr>
          <w:p w14:paraId="69E4F8B6"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1.92</w:t>
            </w:r>
          </w:p>
        </w:tc>
        <w:tc>
          <w:tcPr>
            <w:tcW w:w="3542" w:type="dxa"/>
            <w:hideMark/>
          </w:tcPr>
          <w:p w14:paraId="10263F27" w14:textId="77777777" w:rsidR="002030DB" w:rsidRPr="008C17AC" w:rsidRDefault="002030DB"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standardization of processes</w:t>
            </w:r>
          </w:p>
        </w:tc>
        <w:tc>
          <w:tcPr>
            <w:tcW w:w="426" w:type="dxa"/>
            <w:noWrap/>
            <w:hideMark/>
          </w:tcPr>
          <w:p w14:paraId="26517743"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2</w:t>
            </w:r>
          </w:p>
        </w:tc>
        <w:tc>
          <w:tcPr>
            <w:tcW w:w="708" w:type="dxa"/>
            <w:noWrap/>
            <w:hideMark/>
          </w:tcPr>
          <w:p w14:paraId="1E5912BE"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1.92</w:t>
            </w:r>
          </w:p>
        </w:tc>
      </w:tr>
      <w:tr w:rsidR="005D7301" w:rsidRPr="008C17AC" w14:paraId="53272DEA" w14:textId="77777777" w:rsidTr="009E0421">
        <w:trPr>
          <w:trHeight w:val="227"/>
        </w:trPr>
        <w:tc>
          <w:tcPr>
            <w:tcW w:w="3313" w:type="dxa"/>
            <w:hideMark/>
          </w:tcPr>
          <w:p w14:paraId="1D7C5425" w14:textId="77777777" w:rsidR="00BB0C46" w:rsidRPr="008C17AC" w:rsidRDefault="00BB0C46" w:rsidP="002030DB">
            <w:pPr>
              <w:spacing w:line="216" w:lineRule="auto"/>
              <w:rPr>
                <w:rFonts w:ascii="Times New Roman" w:hAnsi="Times New Roman" w:cs="Times New Roman"/>
                <w:b/>
                <w:bCs/>
                <w:sz w:val="20"/>
                <w:szCs w:val="20"/>
              </w:rPr>
            </w:pPr>
            <w:r w:rsidRPr="008C17AC">
              <w:rPr>
                <w:rFonts w:ascii="Times New Roman" w:hAnsi="Times New Roman" w:cs="Times New Roman"/>
                <w:b/>
                <w:bCs/>
                <w:sz w:val="20"/>
                <w:szCs w:val="20"/>
              </w:rPr>
              <w:t>Open science policies and guidelines</w:t>
            </w:r>
          </w:p>
        </w:tc>
        <w:tc>
          <w:tcPr>
            <w:tcW w:w="5754" w:type="dxa"/>
            <w:gridSpan w:val="5"/>
            <w:noWrap/>
            <w:hideMark/>
          </w:tcPr>
          <w:p w14:paraId="20B4CCF2" w14:textId="3D28522C" w:rsidR="00BB0C46" w:rsidRPr="008C17AC" w:rsidRDefault="00BB0C46" w:rsidP="00F30987">
            <w:pPr>
              <w:spacing w:line="216" w:lineRule="auto"/>
              <w:jc w:val="center"/>
              <w:rPr>
                <w:rFonts w:ascii="Times New Roman" w:hAnsi="Times New Roman" w:cs="Times New Roman"/>
                <w:sz w:val="20"/>
                <w:szCs w:val="20"/>
              </w:rPr>
            </w:pPr>
          </w:p>
        </w:tc>
      </w:tr>
      <w:tr w:rsidR="008C17AC" w:rsidRPr="008C17AC" w14:paraId="3CCDBF63" w14:textId="77777777" w:rsidTr="009E0421">
        <w:trPr>
          <w:trHeight w:val="227"/>
        </w:trPr>
        <w:tc>
          <w:tcPr>
            <w:tcW w:w="3313" w:type="dxa"/>
            <w:vMerge w:val="restart"/>
            <w:hideMark/>
          </w:tcPr>
          <w:p w14:paraId="21194739" w14:textId="77777777" w:rsidR="002030DB" w:rsidRPr="008C17AC" w:rsidRDefault="002030DB"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Rewards and incentives</w:t>
            </w:r>
          </w:p>
        </w:tc>
        <w:tc>
          <w:tcPr>
            <w:tcW w:w="414" w:type="dxa"/>
            <w:vMerge w:val="restart"/>
            <w:noWrap/>
            <w:hideMark/>
          </w:tcPr>
          <w:p w14:paraId="61CE07AF"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9</w:t>
            </w:r>
          </w:p>
        </w:tc>
        <w:tc>
          <w:tcPr>
            <w:tcW w:w="664" w:type="dxa"/>
            <w:vMerge w:val="restart"/>
            <w:noWrap/>
            <w:hideMark/>
          </w:tcPr>
          <w:p w14:paraId="3809A455"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8.65</w:t>
            </w:r>
          </w:p>
        </w:tc>
        <w:tc>
          <w:tcPr>
            <w:tcW w:w="3542" w:type="dxa"/>
            <w:hideMark/>
          </w:tcPr>
          <w:p w14:paraId="64F22FF6" w14:textId="77777777" w:rsidR="002030DB" w:rsidRPr="008C17AC" w:rsidRDefault="002030DB"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badges for data and code sharing</w:t>
            </w:r>
          </w:p>
        </w:tc>
        <w:tc>
          <w:tcPr>
            <w:tcW w:w="426" w:type="dxa"/>
            <w:noWrap/>
            <w:hideMark/>
          </w:tcPr>
          <w:p w14:paraId="3A26DD77"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2</w:t>
            </w:r>
          </w:p>
        </w:tc>
        <w:tc>
          <w:tcPr>
            <w:tcW w:w="708" w:type="dxa"/>
            <w:noWrap/>
            <w:hideMark/>
          </w:tcPr>
          <w:p w14:paraId="000AE3B1"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1.92</w:t>
            </w:r>
          </w:p>
        </w:tc>
      </w:tr>
      <w:tr w:rsidR="005D7301" w:rsidRPr="008C17AC" w14:paraId="38815FB5" w14:textId="77777777" w:rsidTr="009E0421">
        <w:trPr>
          <w:trHeight w:val="227"/>
        </w:trPr>
        <w:tc>
          <w:tcPr>
            <w:tcW w:w="3313" w:type="dxa"/>
            <w:vMerge/>
            <w:hideMark/>
          </w:tcPr>
          <w:p w14:paraId="3C341AC0" w14:textId="77777777" w:rsidR="002030DB" w:rsidRPr="008C17AC" w:rsidRDefault="002030DB" w:rsidP="002030DB">
            <w:pPr>
              <w:spacing w:line="216" w:lineRule="auto"/>
              <w:rPr>
                <w:rFonts w:ascii="Times New Roman" w:hAnsi="Times New Roman" w:cs="Times New Roman"/>
                <w:sz w:val="20"/>
                <w:szCs w:val="20"/>
              </w:rPr>
            </w:pPr>
          </w:p>
        </w:tc>
        <w:tc>
          <w:tcPr>
            <w:tcW w:w="414" w:type="dxa"/>
            <w:vMerge/>
            <w:hideMark/>
          </w:tcPr>
          <w:p w14:paraId="35F2FA70" w14:textId="77777777" w:rsidR="002030DB" w:rsidRPr="008C17AC" w:rsidRDefault="002030DB" w:rsidP="00F30987">
            <w:pPr>
              <w:spacing w:line="216" w:lineRule="auto"/>
              <w:jc w:val="center"/>
              <w:rPr>
                <w:rFonts w:ascii="Times New Roman" w:hAnsi="Times New Roman" w:cs="Times New Roman"/>
                <w:sz w:val="20"/>
                <w:szCs w:val="20"/>
              </w:rPr>
            </w:pPr>
          </w:p>
        </w:tc>
        <w:tc>
          <w:tcPr>
            <w:tcW w:w="664" w:type="dxa"/>
            <w:vMerge/>
            <w:hideMark/>
          </w:tcPr>
          <w:p w14:paraId="457E677D" w14:textId="77777777" w:rsidR="002030DB" w:rsidRPr="008C17AC" w:rsidRDefault="002030DB" w:rsidP="00F30987">
            <w:pPr>
              <w:spacing w:line="216" w:lineRule="auto"/>
              <w:jc w:val="center"/>
              <w:rPr>
                <w:rFonts w:ascii="Times New Roman" w:hAnsi="Times New Roman" w:cs="Times New Roman"/>
                <w:sz w:val="20"/>
                <w:szCs w:val="20"/>
              </w:rPr>
            </w:pPr>
          </w:p>
        </w:tc>
        <w:tc>
          <w:tcPr>
            <w:tcW w:w="3542" w:type="dxa"/>
            <w:hideMark/>
          </w:tcPr>
          <w:p w14:paraId="1D550738" w14:textId="77777777" w:rsidR="002030DB" w:rsidRPr="008C17AC" w:rsidRDefault="002030DB"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badges for open data</w:t>
            </w:r>
          </w:p>
        </w:tc>
        <w:tc>
          <w:tcPr>
            <w:tcW w:w="426" w:type="dxa"/>
            <w:noWrap/>
            <w:hideMark/>
          </w:tcPr>
          <w:p w14:paraId="6202BCE5"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3</w:t>
            </w:r>
          </w:p>
        </w:tc>
        <w:tc>
          <w:tcPr>
            <w:tcW w:w="708" w:type="dxa"/>
            <w:noWrap/>
            <w:hideMark/>
          </w:tcPr>
          <w:p w14:paraId="1E1576F5"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2.88</w:t>
            </w:r>
          </w:p>
        </w:tc>
      </w:tr>
      <w:tr w:rsidR="005D7301" w:rsidRPr="008C17AC" w14:paraId="25AAE48D" w14:textId="77777777" w:rsidTr="009E0421">
        <w:trPr>
          <w:trHeight w:val="227"/>
        </w:trPr>
        <w:tc>
          <w:tcPr>
            <w:tcW w:w="3313" w:type="dxa"/>
            <w:vMerge/>
            <w:hideMark/>
          </w:tcPr>
          <w:p w14:paraId="56418043" w14:textId="77777777" w:rsidR="002030DB" w:rsidRPr="008C17AC" w:rsidRDefault="002030DB" w:rsidP="002030DB">
            <w:pPr>
              <w:spacing w:line="216" w:lineRule="auto"/>
              <w:rPr>
                <w:rFonts w:ascii="Times New Roman" w:hAnsi="Times New Roman" w:cs="Times New Roman"/>
                <w:sz w:val="20"/>
                <w:szCs w:val="20"/>
              </w:rPr>
            </w:pPr>
          </w:p>
        </w:tc>
        <w:tc>
          <w:tcPr>
            <w:tcW w:w="414" w:type="dxa"/>
            <w:vMerge/>
            <w:hideMark/>
          </w:tcPr>
          <w:p w14:paraId="29E27E8E" w14:textId="77777777" w:rsidR="002030DB" w:rsidRPr="008C17AC" w:rsidRDefault="002030DB" w:rsidP="00F30987">
            <w:pPr>
              <w:spacing w:line="216" w:lineRule="auto"/>
              <w:jc w:val="center"/>
              <w:rPr>
                <w:rFonts w:ascii="Times New Roman" w:hAnsi="Times New Roman" w:cs="Times New Roman"/>
                <w:sz w:val="20"/>
                <w:szCs w:val="20"/>
              </w:rPr>
            </w:pPr>
          </w:p>
        </w:tc>
        <w:tc>
          <w:tcPr>
            <w:tcW w:w="664" w:type="dxa"/>
            <w:vMerge/>
            <w:hideMark/>
          </w:tcPr>
          <w:p w14:paraId="711DDCDB" w14:textId="77777777" w:rsidR="002030DB" w:rsidRPr="008C17AC" w:rsidRDefault="002030DB" w:rsidP="00F30987">
            <w:pPr>
              <w:spacing w:line="216" w:lineRule="auto"/>
              <w:jc w:val="center"/>
              <w:rPr>
                <w:rFonts w:ascii="Times New Roman" w:hAnsi="Times New Roman" w:cs="Times New Roman"/>
                <w:sz w:val="20"/>
                <w:szCs w:val="20"/>
              </w:rPr>
            </w:pPr>
          </w:p>
        </w:tc>
        <w:tc>
          <w:tcPr>
            <w:tcW w:w="3542" w:type="dxa"/>
            <w:hideMark/>
          </w:tcPr>
          <w:p w14:paraId="21AEC482" w14:textId="77777777" w:rsidR="002030DB" w:rsidRPr="008C17AC" w:rsidRDefault="002030DB"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badges for open data and materials</w:t>
            </w:r>
          </w:p>
        </w:tc>
        <w:tc>
          <w:tcPr>
            <w:tcW w:w="426" w:type="dxa"/>
            <w:noWrap/>
            <w:hideMark/>
          </w:tcPr>
          <w:p w14:paraId="48B567F2"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708" w:type="dxa"/>
            <w:noWrap/>
            <w:hideMark/>
          </w:tcPr>
          <w:p w14:paraId="72619C02"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r>
      <w:tr w:rsidR="008C17AC" w:rsidRPr="008C17AC" w14:paraId="03351001" w14:textId="77777777" w:rsidTr="009E0421">
        <w:trPr>
          <w:trHeight w:val="227"/>
        </w:trPr>
        <w:tc>
          <w:tcPr>
            <w:tcW w:w="3313" w:type="dxa"/>
            <w:vMerge/>
            <w:hideMark/>
          </w:tcPr>
          <w:p w14:paraId="280EB763" w14:textId="77777777" w:rsidR="002030DB" w:rsidRPr="008C17AC" w:rsidRDefault="002030DB" w:rsidP="002030DB">
            <w:pPr>
              <w:spacing w:line="216" w:lineRule="auto"/>
              <w:rPr>
                <w:rFonts w:ascii="Times New Roman" w:hAnsi="Times New Roman" w:cs="Times New Roman"/>
                <w:sz w:val="20"/>
                <w:szCs w:val="20"/>
              </w:rPr>
            </w:pPr>
          </w:p>
        </w:tc>
        <w:tc>
          <w:tcPr>
            <w:tcW w:w="414" w:type="dxa"/>
            <w:vMerge/>
            <w:hideMark/>
          </w:tcPr>
          <w:p w14:paraId="579E135A" w14:textId="77777777" w:rsidR="002030DB" w:rsidRPr="008C17AC" w:rsidRDefault="002030DB" w:rsidP="00F30987">
            <w:pPr>
              <w:spacing w:line="216" w:lineRule="auto"/>
              <w:jc w:val="center"/>
              <w:rPr>
                <w:rFonts w:ascii="Times New Roman" w:hAnsi="Times New Roman" w:cs="Times New Roman"/>
                <w:sz w:val="20"/>
                <w:szCs w:val="20"/>
              </w:rPr>
            </w:pPr>
          </w:p>
        </w:tc>
        <w:tc>
          <w:tcPr>
            <w:tcW w:w="664" w:type="dxa"/>
            <w:vMerge/>
            <w:hideMark/>
          </w:tcPr>
          <w:p w14:paraId="66593AFC" w14:textId="77777777" w:rsidR="002030DB" w:rsidRPr="008C17AC" w:rsidRDefault="002030DB" w:rsidP="00F30987">
            <w:pPr>
              <w:spacing w:line="216" w:lineRule="auto"/>
              <w:jc w:val="center"/>
              <w:rPr>
                <w:rFonts w:ascii="Times New Roman" w:hAnsi="Times New Roman" w:cs="Times New Roman"/>
                <w:sz w:val="20"/>
                <w:szCs w:val="20"/>
              </w:rPr>
            </w:pPr>
          </w:p>
        </w:tc>
        <w:tc>
          <w:tcPr>
            <w:tcW w:w="3542" w:type="dxa"/>
            <w:hideMark/>
          </w:tcPr>
          <w:p w14:paraId="0838C6D8" w14:textId="77777777" w:rsidR="002030DB" w:rsidRPr="008C17AC" w:rsidRDefault="002030DB"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badges for open science</w:t>
            </w:r>
          </w:p>
        </w:tc>
        <w:tc>
          <w:tcPr>
            <w:tcW w:w="426" w:type="dxa"/>
            <w:noWrap/>
            <w:hideMark/>
          </w:tcPr>
          <w:p w14:paraId="0530F229"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3</w:t>
            </w:r>
          </w:p>
        </w:tc>
        <w:tc>
          <w:tcPr>
            <w:tcW w:w="708" w:type="dxa"/>
            <w:noWrap/>
            <w:hideMark/>
          </w:tcPr>
          <w:p w14:paraId="41C6D062"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2.88</w:t>
            </w:r>
          </w:p>
        </w:tc>
      </w:tr>
      <w:tr w:rsidR="008C17AC" w:rsidRPr="008C17AC" w14:paraId="561C9CEC" w14:textId="77777777" w:rsidTr="009E0421">
        <w:trPr>
          <w:trHeight w:val="227"/>
        </w:trPr>
        <w:tc>
          <w:tcPr>
            <w:tcW w:w="3313" w:type="dxa"/>
            <w:vMerge w:val="restart"/>
            <w:hideMark/>
          </w:tcPr>
          <w:p w14:paraId="25B3A605" w14:textId="77777777" w:rsidR="002030DB" w:rsidRPr="008C17AC" w:rsidRDefault="002030DB"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Reporting guidelines, reporting standards</w:t>
            </w:r>
          </w:p>
        </w:tc>
        <w:tc>
          <w:tcPr>
            <w:tcW w:w="414" w:type="dxa"/>
            <w:vMerge w:val="restart"/>
            <w:noWrap/>
            <w:hideMark/>
          </w:tcPr>
          <w:p w14:paraId="77F4D55F"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15</w:t>
            </w:r>
          </w:p>
        </w:tc>
        <w:tc>
          <w:tcPr>
            <w:tcW w:w="664" w:type="dxa"/>
            <w:vMerge w:val="restart"/>
            <w:noWrap/>
            <w:hideMark/>
          </w:tcPr>
          <w:p w14:paraId="06AAA044"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14.42</w:t>
            </w:r>
          </w:p>
        </w:tc>
        <w:tc>
          <w:tcPr>
            <w:tcW w:w="3542" w:type="dxa"/>
            <w:hideMark/>
          </w:tcPr>
          <w:p w14:paraId="5AD302D4" w14:textId="77777777" w:rsidR="002030DB" w:rsidRPr="008C17AC" w:rsidRDefault="002030DB"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use of reporting checklist</w:t>
            </w:r>
          </w:p>
        </w:tc>
        <w:tc>
          <w:tcPr>
            <w:tcW w:w="426" w:type="dxa"/>
            <w:noWrap/>
            <w:hideMark/>
          </w:tcPr>
          <w:p w14:paraId="6C206CB5"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3</w:t>
            </w:r>
          </w:p>
        </w:tc>
        <w:tc>
          <w:tcPr>
            <w:tcW w:w="708" w:type="dxa"/>
            <w:noWrap/>
            <w:hideMark/>
          </w:tcPr>
          <w:p w14:paraId="32F758F6"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2.88</w:t>
            </w:r>
          </w:p>
        </w:tc>
      </w:tr>
      <w:tr w:rsidR="005D7301" w:rsidRPr="008C17AC" w14:paraId="50EB1684" w14:textId="77777777" w:rsidTr="009E0421">
        <w:trPr>
          <w:trHeight w:val="227"/>
        </w:trPr>
        <w:tc>
          <w:tcPr>
            <w:tcW w:w="3313" w:type="dxa"/>
            <w:vMerge/>
            <w:hideMark/>
          </w:tcPr>
          <w:p w14:paraId="22BCF57C" w14:textId="77777777" w:rsidR="002030DB" w:rsidRPr="008C17AC" w:rsidRDefault="002030DB" w:rsidP="002030DB">
            <w:pPr>
              <w:spacing w:line="216" w:lineRule="auto"/>
              <w:rPr>
                <w:rFonts w:ascii="Times New Roman" w:hAnsi="Times New Roman" w:cs="Times New Roman"/>
                <w:sz w:val="20"/>
                <w:szCs w:val="20"/>
              </w:rPr>
            </w:pPr>
          </w:p>
        </w:tc>
        <w:tc>
          <w:tcPr>
            <w:tcW w:w="414" w:type="dxa"/>
            <w:vMerge/>
            <w:hideMark/>
          </w:tcPr>
          <w:p w14:paraId="4622512A" w14:textId="77777777" w:rsidR="002030DB" w:rsidRPr="008C17AC" w:rsidRDefault="002030DB" w:rsidP="00F30987">
            <w:pPr>
              <w:spacing w:line="216" w:lineRule="auto"/>
              <w:jc w:val="center"/>
              <w:rPr>
                <w:rFonts w:ascii="Times New Roman" w:hAnsi="Times New Roman" w:cs="Times New Roman"/>
                <w:sz w:val="20"/>
                <w:szCs w:val="20"/>
              </w:rPr>
            </w:pPr>
          </w:p>
        </w:tc>
        <w:tc>
          <w:tcPr>
            <w:tcW w:w="664" w:type="dxa"/>
            <w:vMerge/>
            <w:hideMark/>
          </w:tcPr>
          <w:p w14:paraId="2D909E29" w14:textId="77777777" w:rsidR="002030DB" w:rsidRPr="008C17AC" w:rsidRDefault="002030DB" w:rsidP="00F30987">
            <w:pPr>
              <w:spacing w:line="216" w:lineRule="auto"/>
              <w:jc w:val="center"/>
              <w:rPr>
                <w:rFonts w:ascii="Times New Roman" w:hAnsi="Times New Roman" w:cs="Times New Roman"/>
                <w:sz w:val="20"/>
                <w:szCs w:val="20"/>
              </w:rPr>
            </w:pPr>
          </w:p>
        </w:tc>
        <w:tc>
          <w:tcPr>
            <w:tcW w:w="3542" w:type="dxa"/>
            <w:hideMark/>
          </w:tcPr>
          <w:p w14:paraId="201065EF" w14:textId="77777777" w:rsidR="002030DB" w:rsidRPr="008C17AC" w:rsidRDefault="002030DB"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publication of reporting checklist</w:t>
            </w:r>
          </w:p>
        </w:tc>
        <w:tc>
          <w:tcPr>
            <w:tcW w:w="426" w:type="dxa"/>
            <w:noWrap/>
            <w:hideMark/>
          </w:tcPr>
          <w:p w14:paraId="30234FE7"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11</w:t>
            </w:r>
          </w:p>
        </w:tc>
        <w:tc>
          <w:tcPr>
            <w:tcW w:w="708" w:type="dxa"/>
            <w:noWrap/>
            <w:hideMark/>
          </w:tcPr>
          <w:p w14:paraId="55BD0EBC"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10.58</w:t>
            </w:r>
          </w:p>
        </w:tc>
      </w:tr>
      <w:tr w:rsidR="008C17AC" w:rsidRPr="008C17AC" w14:paraId="39D0A00B" w14:textId="77777777" w:rsidTr="009E0421">
        <w:trPr>
          <w:trHeight w:val="227"/>
        </w:trPr>
        <w:tc>
          <w:tcPr>
            <w:tcW w:w="3313" w:type="dxa"/>
            <w:vMerge/>
            <w:hideMark/>
          </w:tcPr>
          <w:p w14:paraId="65CBA616" w14:textId="77777777" w:rsidR="002030DB" w:rsidRPr="008C17AC" w:rsidRDefault="002030DB" w:rsidP="002030DB">
            <w:pPr>
              <w:spacing w:line="216" w:lineRule="auto"/>
              <w:rPr>
                <w:rFonts w:ascii="Times New Roman" w:hAnsi="Times New Roman" w:cs="Times New Roman"/>
                <w:sz w:val="20"/>
                <w:szCs w:val="20"/>
              </w:rPr>
            </w:pPr>
          </w:p>
        </w:tc>
        <w:tc>
          <w:tcPr>
            <w:tcW w:w="414" w:type="dxa"/>
            <w:vMerge/>
            <w:hideMark/>
          </w:tcPr>
          <w:p w14:paraId="50AF758E" w14:textId="77777777" w:rsidR="002030DB" w:rsidRPr="008C17AC" w:rsidRDefault="002030DB" w:rsidP="00F30987">
            <w:pPr>
              <w:spacing w:line="216" w:lineRule="auto"/>
              <w:jc w:val="center"/>
              <w:rPr>
                <w:rFonts w:ascii="Times New Roman" w:hAnsi="Times New Roman" w:cs="Times New Roman"/>
                <w:sz w:val="20"/>
                <w:szCs w:val="20"/>
              </w:rPr>
            </w:pPr>
          </w:p>
        </w:tc>
        <w:tc>
          <w:tcPr>
            <w:tcW w:w="664" w:type="dxa"/>
            <w:vMerge/>
            <w:hideMark/>
          </w:tcPr>
          <w:p w14:paraId="763DA113" w14:textId="77777777" w:rsidR="002030DB" w:rsidRPr="008C17AC" w:rsidRDefault="002030DB" w:rsidP="00F30987">
            <w:pPr>
              <w:spacing w:line="216" w:lineRule="auto"/>
              <w:jc w:val="center"/>
              <w:rPr>
                <w:rFonts w:ascii="Times New Roman" w:hAnsi="Times New Roman" w:cs="Times New Roman"/>
                <w:sz w:val="20"/>
                <w:szCs w:val="20"/>
              </w:rPr>
            </w:pPr>
          </w:p>
        </w:tc>
        <w:tc>
          <w:tcPr>
            <w:tcW w:w="3542" w:type="dxa"/>
            <w:hideMark/>
          </w:tcPr>
          <w:p w14:paraId="35594399" w14:textId="77777777" w:rsidR="002030DB" w:rsidRPr="008C17AC" w:rsidRDefault="002030DB"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publication of methodological guidelines</w:t>
            </w:r>
          </w:p>
        </w:tc>
        <w:tc>
          <w:tcPr>
            <w:tcW w:w="426" w:type="dxa"/>
            <w:noWrap/>
            <w:hideMark/>
          </w:tcPr>
          <w:p w14:paraId="3C831B6D"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708" w:type="dxa"/>
            <w:noWrap/>
            <w:hideMark/>
          </w:tcPr>
          <w:p w14:paraId="0CBFEC15"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r>
      <w:tr w:rsidR="005D7301" w:rsidRPr="008C17AC" w14:paraId="13C6C64A" w14:textId="77777777" w:rsidTr="009E0421">
        <w:trPr>
          <w:trHeight w:val="227"/>
        </w:trPr>
        <w:tc>
          <w:tcPr>
            <w:tcW w:w="3313" w:type="dxa"/>
            <w:hideMark/>
          </w:tcPr>
          <w:p w14:paraId="492A2771" w14:textId="77777777" w:rsidR="009E0421" w:rsidRPr="008C17AC" w:rsidRDefault="00BB0C46"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 xml:space="preserve">Policy guidelines </w:t>
            </w:r>
          </w:p>
          <w:p w14:paraId="1398AB9A" w14:textId="72768DC8" w:rsidR="00BB0C46" w:rsidRPr="008C17AC" w:rsidRDefault="00BB0C46"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(e.g. of funders/ publishers)</w:t>
            </w:r>
          </w:p>
        </w:tc>
        <w:tc>
          <w:tcPr>
            <w:tcW w:w="414" w:type="dxa"/>
            <w:noWrap/>
            <w:hideMark/>
          </w:tcPr>
          <w:p w14:paraId="62FBF21C" w14:textId="77777777" w:rsidR="00BB0C46" w:rsidRPr="008C17AC" w:rsidRDefault="00BB0C46"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49</w:t>
            </w:r>
          </w:p>
        </w:tc>
        <w:tc>
          <w:tcPr>
            <w:tcW w:w="664" w:type="dxa"/>
            <w:noWrap/>
            <w:hideMark/>
          </w:tcPr>
          <w:p w14:paraId="7683FABA" w14:textId="77777777" w:rsidR="00BB0C46" w:rsidRPr="008C17AC" w:rsidRDefault="00BB0C46"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47.12</w:t>
            </w:r>
          </w:p>
        </w:tc>
        <w:tc>
          <w:tcPr>
            <w:tcW w:w="4676" w:type="dxa"/>
            <w:gridSpan w:val="3"/>
            <w:noWrap/>
            <w:hideMark/>
          </w:tcPr>
          <w:p w14:paraId="7736FE4D" w14:textId="35DE17D5" w:rsidR="00BB0C46" w:rsidRPr="008C17AC" w:rsidRDefault="00BB0C46" w:rsidP="00F30987">
            <w:pPr>
              <w:spacing w:line="216" w:lineRule="auto"/>
              <w:jc w:val="center"/>
              <w:rPr>
                <w:rFonts w:ascii="Times New Roman" w:hAnsi="Times New Roman" w:cs="Times New Roman"/>
                <w:i/>
                <w:iCs/>
                <w:sz w:val="20"/>
                <w:szCs w:val="20"/>
              </w:rPr>
            </w:pPr>
          </w:p>
        </w:tc>
      </w:tr>
      <w:tr w:rsidR="008C17AC" w:rsidRPr="008C17AC" w14:paraId="578F747F" w14:textId="77777777" w:rsidTr="009E0421">
        <w:trPr>
          <w:trHeight w:val="227"/>
        </w:trPr>
        <w:tc>
          <w:tcPr>
            <w:tcW w:w="3313" w:type="dxa"/>
            <w:vMerge w:val="restart"/>
            <w:hideMark/>
          </w:tcPr>
          <w:p w14:paraId="4BB1B12A" w14:textId="686C4616" w:rsidR="002030DB" w:rsidRPr="008C17AC" w:rsidRDefault="00E67D93" w:rsidP="005301A1">
            <w:pPr>
              <w:pStyle w:val="Lijstalinea"/>
              <w:numPr>
                <w:ilvl w:val="0"/>
                <w:numId w:val="2"/>
              </w:numPr>
              <w:spacing w:line="216" w:lineRule="auto"/>
              <w:rPr>
                <w:rFonts w:ascii="Times New Roman" w:hAnsi="Times New Roman" w:cs="Times New Roman"/>
                <w:sz w:val="20"/>
                <w:szCs w:val="20"/>
              </w:rPr>
            </w:pPr>
            <w:r w:rsidRPr="008C17AC">
              <w:rPr>
                <w:rFonts w:ascii="Times New Roman" w:hAnsi="Times New Roman" w:cs="Times New Roman"/>
                <w:sz w:val="20"/>
                <w:szCs w:val="20"/>
              </w:rPr>
              <w:t>on</w:t>
            </w:r>
            <w:r w:rsidR="004922E0" w:rsidRPr="008C17AC">
              <w:rPr>
                <w:rFonts w:ascii="Times New Roman" w:hAnsi="Times New Roman" w:cs="Times New Roman"/>
                <w:sz w:val="20"/>
                <w:szCs w:val="20"/>
              </w:rPr>
              <w:t xml:space="preserve"> data/code sharing or open science practices</w:t>
            </w:r>
          </w:p>
        </w:tc>
        <w:tc>
          <w:tcPr>
            <w:tcW w:w="414" w:type="dxa"/>
            <w:vMerge w:val="restart"/>
            <w:hideMark/>
          </w:tcPr>
          <w:p w14:paraId="7AE67F81" w14:textId="77777777" w:rsidR="002030DB" w:rsidRPr="008C17AC" w:rsidRDefault="002030DB" w:rsidP="00F30987">
            <w:pPr>
              <w:spacing w:line="216" w:lineRule="auto"/>
              <w:jc w:val="center"/>
              <w:rPr>
                <w:rFonts w:ascii="Times New Roman" w:hAnsi="Times New Roman" w:cs="Times New Roman"/>
                <w:sz w:val="20"/>
                <w:szCs w:val="20"/>
              </w:rPr>
            </w:pPr>
          </w:p>
        </w:tc>
        <w:tc>
          <w:tcPr>
            <w:tcW w:w="664" w:type="dxa"/>
            <w:vMerge w:val="restart"/>
            <w:hideMark/>
          </w:tcPr>
          <w:p w14:paraId="77B6839A" w14:textId="77777777" w:rsidR="002030DB" w:rsidRPr="008C17AC" w:rsidRDefault="002030DB" w:rsidP="00F30987">
            <w:pPr>
              <w:spacing w:line="216" w:lineRule="auto"/>
              <w:jc w:val="center"/>
              <w:rPr>
                <w:rFonts w:ascii="Times New Roman" w:hAnsi="Times New Roman" w:cs="Times New Roman"/>
                <w:sz w:val="20"/>
                <w:szCs w:val="20"/>
              </w:rPr>
            </w:pPr>
          </w:p>
        </w:tc>
        <w:tc>
          <w:tcPr>
            <w:tcW w:w="3542" w:type="dxa"/>
            <w:hideMark/>
          </w:tcPr>
          <w:p w14:paraId="2FE3A202" w14:textId="77777777" w:rsidR="002030DB" w:rsidRPr="008C17AC" w:rsidRDefault="002030DB"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journal submission guidelines on data/code sharing</w:t>
            </w:r>
          </w:p>
        </w:tc>
        <w:tc>
          <w:tcPr>
            <w:tcW w:w="426" w:type="dxa"/>
            <w:noWrap/>
            <w:hideMark/>
          </w:tcPr>
          <w:p w14:paraId="4ACAF254"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3</w:t>
            </w:r>
          </w:p>
        </w:tc>
        <w:tc>
          <w:tcPr>
            <w:tcW w:w="708" w:type="dxa"/>
            <w:noWrap/>
            <w:hideMark/>
          </w:tcPr>
          <w:p w14:paraId="66BF64EB"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2.88</w:t>
            </w:r>
          </w:p>
        </w:tc>
      </w:tr>
      <w:tr w:rsidR="008C17AC" w:rsidRPr="008C17AC" w14:paraId="5A6CF139" w14:textId="77777777" w:rsidTr="009E0421">
        <w:trPr>
          <w:trHeight w:val="227"/>
        </w:trPr>
        <w:tc>
          <w:tcPr>
            <w:tcW w:w="3313" w:type="dxa"/>
            <w:vMerge/>
            <w:hideMark/>
          </w:tcPr>
          <w:p w14:paraId="3574FFE8" w14:textId="77777777" w:rsidR="002030DB" w:rsidRPr="008C17AC" w:rsidRDefault="002030DB" w:rsidP="002030DB">
            <w:pPr>
              <w:spacing w:line="216" w:lineRule="auto"/>
              <w:rPr>
                <w:rFonts w:ascii="Times New Roman" w:hAnsi="Times New Roman" w:cs="Times New Roman"/>
                <w:sz w:val="20"/>
                <w:szCs w:val="20"/>
              </w:rPr>
            </w:pPr>
          </w:p>
        </w:tc>
        <w:tc>
          <w:tcPr>
            <w:tcW w:w="414" w:type="dxa"/>
            <w:vMerge/>
            <w:hideMark/>
          </w:tcPr>
          <w:p w14:paraId="648A43F7" w14:textId="77777777" w:rsidR="002030DB" w:rsidRPr="008C17AC" w:rsidRDefault="002030DB" w:rsidP="00F30987">
            <w:pPr>
              <w:spacing w:line="216" w:lineRule="auto"/>
              <w:jc w:val="center"/>
              <w:rPr>
                <w:rFonts w:ascii="Times New Roman" w:hAnsi="Times New Roman" w:cs="Times New Roman"/>
                <w:sz w:val="20"/>
                <w:szCs w:val="20"/>
              </w:rPr>
            </w:pPr>
          </w:p>
        </w:tc>
        <w:tc>
          <w:tcPr>
            <w:tcW w:w="664" w:type="dxa"/>
            <w:vMerge/>
            <w:hideMark/>
          </w:tcPr>
          <w:p w14:paraId="275E4F05" w14:textId="77777777" w:rsidR="002030DB" w:rsidRPr="008C17AC" w:rsidRDefault="002030DB" w:rsidP="00F30987">
            <w:pPr>
              <w:spacing w:line="216" w:lineRule="auto"/>
              <w:jc w:val="center"/>
              <w:rPr>
                <w:rFonts w:ascii="Times New Roman" w:hAnsi="Times New Roman" w:cs="Times New Roman"/>
                <w:sz w:val="20"/>
                <w:szCs w:val="20"/>
              </w:rPr>
            </w:pPr>
          </w:p>
        </w:tc>
        <w:tc>
          <w:tcPr>
            <w:tcW w:w="3542" w:type="dxa"/>
            <w:hideMark/>
          </w:tcPr>
          <w:p w14:paraId="680A490F" w14:textId="77777777" w:rsidR="002030DB" w:rsidRPr="008C17AC" w:rsidRDefault="002030DB"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journal policy on data/code sharing</w:t>
            </w:r>
          </w:p>
        </w:tc>
        <w:tc>
          <w:tcPr>
            <w:tcW w:w="426" w:type="dxa"/>
            <w:noWrap/>
            <w:hideMark/>
          </w:tcPr>
          <w:p w14:paraId="6DA1A0E9"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20</w:t>
            </w:r>
          </w:p>
        </w:tc>
        <w:tc>
          <w:tcPr>
            <w:tcW w:w="708" w:type="dxa"/>
            <w:noWrap/>
            <w:hideMark/>
          </w:tcPr>
          <w:p w14:paraId="6CA6EA07"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19.23</w:t>
            </w:r>
          </w:p>
        </w:tc>
      </w:tr>
      <w:tr w:rsidR="008C17AC" w:rsidRPr="008C17AC" w14:paraId="57E3F086" w14:textId="77777777" w:rsidTr="009E0421">
        <w:trPr>
          <w:trHeight w:val="227"/>
        </w:trPr>
        <w:tc>
          <w:tcPr>
            <w:tcW w:w="3313" w:type="dxa"/>
            <w:vMerge/>
            <w:hideMark/>
          </w:tcPr>
          <w:p w14:paraId="206EFA17" w14:textId="77777777" w:rsidR="002030DB" w:rsidRPr="008C17AC" w:rsidRDefault="002030DB" w:rsidP="002030DB">
            <w:pPr>
              <w:spacing w:line="216" w:lineRule="auto"/>
              <w:rPr>
                <w:rFonts w:ascii="Times New Roman" w:hAnsi="Times New Roman" w:cs="Times New Roman"/>
                <w:sz w:val="20"/>
                <w:szCs w:val="20"/>
              </w:rPr>
            </w:pPr>
          </w:p>
        </w:tc>
        <w:tc>
          <w:tcPr>
            <w:tcW w:w="414" w:type="dxa"/>
            <w:vMerge/>
            <w:hideMark/>
          </w:tcPr>
          <w:p w14:paraId="5C7D0AC9" w14:textId="77777777" w:rsidR="002030DB" w:rsidRPr="008C17AC" w:rsidRDefault="002030DB" w:rsidP="00F30987">
            <w:pPr>
              <w:spacing w:line="216" w:lineRule="auto"/>
              <w:jc w:val="center"/>
              <w:rPr>
                <w:rFonts w:ascii="Times New Roman" w:hAnsi="Times New Roman" w:cs="Times New Roman"/>
                <w:sz w:val="20"/>
                <w:szCs w:val="20"/>
              </w:rPr>
            </w:pPr>
          </w:p>
        </w:tc>
        <w:tc>
          <w:tcPr>
            <w:tcW w:w="664" w:type="dxa"/>
            <w:vMerge/>
            <w:hideMark/>
          </w:tcPr>
          <w:p w14:paraId="4413B755" w14:textId="77777777" w:rsidR="002030DB" w:rsidRPr="008C17AC" w:rsidRDefault="002030DB" w:rsidP="00F30987">
            <w:pPr>
              <w:spacing w:line="216" w:lineRule="auto"/>
              <w:jc w:val="center"/>
              <w:rPr>
                <w:rFonts w:ascii="Times New Roman" w:hAnsi="Times New Roman" w:cs="Times New Roman"/>
                <w:sz w:val="20"/>
                <w:szCs w:val="20"/>
              </w:rPr>
            </w:pPr>
          </w:p>
        </w:tc>
        <w:tc>
          <w:tcPr>
            <w:tcW w:w="3542" w:type="dxa"/>
            <w:hideMark/>
          </w:tcPr>
          <w:p w14:paraId="436D0A73" w14:textId="77777777" w:rsidR="002030DB" w:rsidRPr="008C17AC" w:rsidRDefault="002030DB"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ICMJE data sharing statement</w:t>
            </w:r>
          </w:p>
        </w:tc>
        <w:tc>
          <w:tcPr>
            <w:tcW w:w="426" w:type="dxa"/>
            <w:noWrap/>
            <w:hideMark/>
          </w:tcPr>
          <w:p w14:paraId="4936BE0F"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5</w:t>
            </w:r>
          </w:p>
        </w:tc>
        <w:tc>
          <w:tcPr>
            <w:tcW w:w="708" w:type="dxa"/>
            <w:noWrap/>
            <w:hideMark/>
          </w:tcPr>
          <w:p w14:paraId="54262EF3"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4.81</w:t>
            </w:r>
          </w:p>
        </w:tc>
      </w:tr>
      <w:tr w:rsidR="005D7301" w:rsidRPr="008C17AC" w14:paraId="3F023D74" w14:textId="77777777" w:rsidTr="009E0421">
        <w:trPr>
          <w:trHeight w:val="227"/>
        </w:trPr>
        <w:tc>
          <w:tcPr>
            <w:tcW w:w="3313" w:type="dxa"/>
            <w:vMerge/>
            <w:hideMark/>
          </w:tcPr>
          <w:p w14:paraId="5E8F331F" w14:textId="77777777" w:rsidR="002030DB" w:rsidRPr="008C17AC" w:rsidRDefault="002030DB" w:rsidP="002030DB">
            <w:pPr>
              <w:spacing w:line="216" w:lineRule="auto"/>
              <w:rPr>
                <w:rFonts w:ascii="Times New Roman" w:hAnsi="Times New Roman" w:cs="Times New Roman"/>
                <w:sz w:val="20"/>
                <w:szCs w:val="20"/>
              </w:rPr>
            </w:pPr>
          </w:p>
        </w:tc>
        <w:tc>
          <w:tcPr>
            <w:tcW w:w="414" w:type="dxa"/>
            <w:vMerge/>
            <w:hideMark/>
          </w:tcPr>
          <w:p w14:paraId="36A9226D" w14:textId="77777777" w:rsidR="002030DB" w:rsidRPr="008C17AC" w:rsidRDefault="002030DB" w:rsidP="00F30987">
            <w:pPr>
              <w:spacing w:line="216" w:lineRule="auto"/>
              <w:jc w:val="center"/>
              <w:rPr>
                <w:rFonts w:ascii="Times New Roman" w:hAnsi="Times New Roman" w:cs="Times New Roman"/>
                <w:sz w:val="20"/>
                <w:szCs w:val="20"/>
              </w:rPr>
            </w:pPr>
          </w:p>
        </w:tc>
        <w:tc>
          <w:tcPr>
            <w:tcW w:w="664" w:type="dxa"/>
            <w:vMerge/>
            <w:hideMark/>
          </w:tcPr>
          <w:p w14:paraId="119A743C" w14:textId="77777777" w:rsidR="002030DB" w:rsidRPr="008C17AC" w:rsidRDefault="002030DB" w:rsidP="00F30987">
            <w:pPr>
              <w:spacing w:line="216" w:lineRule="auto"/>
              <w:jc w:val="center"/>
              <w:rPr>
                <w:rFonts w:ascii="Times New Roman" w:hAnsi="Times New Roman" w:cs="Times New Roman"/>
                <w:sz w:val="20"/>
                <w:szCs w:val="20"/>
              </w:rPr>
            </w:pPr>
          </w:p>
        </w:tc>
        <w:tc>
          <w:tcPr>
            <w:tcW w:w="3542" w:type="dxa"/>
            <w:hideMark/>
          </w:tcPr>
          <w:p w14:paraId="6D69E3F5" w14:textId="77777777" w:rsidR="002030DB" w:rsidRPr="008C17AC" w:rsidRDefault="002030DB"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journal and funder policies on data/code sharing</w:t>
            </w:r>
          </w:p>
        </w:tc>
        <w:tc>
          <w:tcPr>
            <w:tcW w:w="426" w:type="dxa"/>
            <w:noWrap/>
            <w:hideMark/>
          </w:tcPr>
          <w:p w14:paraId="125B16C2"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708" w:type="dxa"/>
            <w:noWrap/>
            <w:hideMark/>
          </w:tcPr>
          <w:p w14:paraId="4B84C18E"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r>
      <w:tr w:rsidR="005D7301" w:rsidRPr="008C17AC" w14:paraId="1217275A" w14:textId="77777777" w:rsidTr="009E0421">
        <w:trPr>
          <w:trHeight w:val="227"/>
        </w:trPr>
        <w:tc>
          <w:tcPr>
            <w:tcW w:w="3313" w:type="dxa"/>
            <w:vMerge/>
            <w:hideMark/>
          </w:tcPr>
          <w:p w14:paraId="53FC4EF3" w14:textId="77777777" w:rsidR="002030DB" w:rsidRPr="008C17AC" w:rsidRDefault="002030DB" w:rsidP="002030DB">
            <w:pPr>
              <w:spacing w:line="216" w:lineRule="auto"/>
              <w:rPr>
                <w:rFonts w:ascii="Times New Roman" w:hAnsi="Times New Roman" w:cs="Times New Roman"/>
                <w:sz w:val="20"/>
                <w:szCs w:val="20"/>
              </w:rPr>
            </w:pPr>
          </w:p>
        </w:tc>
        <w:tc>
          <w:tcPr>
            <w:tcW w:w="414" w:type="dxa"/>
            <w:vMerge/>
            <w:hideMark/>
          </w:tcPr>
          <w:p w14:paraId="116DA8E1" w14:textId="77777777" w:rsidR="002030DB" w:rsidRPr="008C17AC" w:rsidRDefault="002030DB" w:rsidP="00F30987">
            <w:pPr>
              <w:spacing w:line="216" w:lineRule="auto"/>
              <w:jc w:val="center"/>
              <w:rPr>
                <w:rFonts w:ascii="Times New Roman" w:hAnsi="Times New Roman" w:cs="Times New Roman"/>
                <w:sz w:val="20"/>
                <w:szCs w:val="20"/>
              </w:rPr>
            </w:pPr>
          </w:p>
        </w:tc>
        <w:tc>
          <w:tcPr>
            <w:tcW w:w="664" w:type="dxa"/>
            <w:vMerge/>
            <w:hideMark/>
          </w:tcPr>
          <w:p w14:paraId="36F48918" w14:textId="77777777" w:rsidR="002030DB" w:rsidRPr="008C17AC" w:rsidRDefault="002030DB" w:rsidP="00F30987">
            <w:pPr>
              <w:spacing w:line="216" w:lineRule="auto"/>
              <w:jc w:val="center"/>
              <w:rPr>
                <w:rFonts w:ascii="Times New Roman" w:hAnsi="Times New Roman" w:cs="Times New Roman"/>
                <w:sz w:val="20"/>
                <w:szCs w:val="20"/>
              </w:rPr>
            </w:pPr>
          </w:p>
        </w:tc>
        <w:tc>
          <w:tcPr>
            <w:tcW w:w="3542" w:type="dxa"/>
            <w:hideMark/>
          </w:tcPr>
          <w:p w14:paraId="5E3C30E3" w14:textId="77777777" w:rsidR="002030DB" w:rsidRPr="008C17AC" w:rsidRDefault="002030DB"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funder data sharing policy</w:t>
            </w:r>
          </w:p>
        </w:tc>
        <w:tc>
          <w:tcPr>
            <w:tcW w:w="426" w:type="dxa"/>
            <w:noWrap/>
            <w:hideMark/>
          </w:tcPr>
          <w:p w14:paraId="462C6622"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708" w:type="dxa"/>
            <w:noWrap/>
            <w:hideMark/>
          </w:tcPr>
          <w:p w14:paraId="3056EEE2"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r>
      <w:tr w:rsidR="008C17AC" w:rsidRPr="008C17AC" w14:paraId="4120DFF1" w14:textId="77777777" w:rsidTr="009E0421">
        <w:trPr>
          <w:trHeight w:val="227"/>
        </w:trPr>
        <w:tc>
          <w:tcPr>
            <w:tcW w:w="3313" w:type="dxa"/>
            <w:vMerge/>
            <w:hideMark/>
          </w:tcPr>
          <w:p w14:paraId="1D4D539B" w14:textId="77777777" w:rsidR="002030DB" w:rsidRPr="008C17AC" w:rsidRDefault="002030DB" w:rsidP="002030DB">
            <w:pPr>
              <w:spacing w:line="216" w:lineRule="auto"/>
              <w:rPr>
                <w:rFonts w:ascii="Times New Roman" w:hAnsi="Times New Roman" w:cs="Times New Roman"/>
                <w:sz w:val="20"/>
                <w:szCs w:val="20"/>
              </w:rPr>
            </w:pPr>
          </w:p>
        </w:tc>
        <w:tc>
          <w:tcPr>
            <w:tcW w:w="414" w:type="dxa"/>
            <w:vMerge/>
            <w:hideMark/>
          </w:tcPr>
          <w:p w14:paraId="3A8D25B8" w14:textId="77777777" w:rsidR="002030DB" w:rsidRPr="008C17AC" w:rsidRDefault="002030DB" w:rsidP="00F30987">
            <w:pPr>
              <w:spacing w:line="216" w:lineRule="auto"/>
              <w:jc w:val="center"/>
              <w:rPr>
                <w:rFonts w:ascii="Times New Roman" w:hAnsi="Times New Roman" w:cs="Times New Roman"/>
                <w:sz w:val="20"/>
                <w:szCs w:val="20"/>
              </w:rPr>
            </w:pPr>
          </w:p>
        </w:tc>
        <w:tc>
          <w:tcPr>
            <w:tcW w:w="664" w:type="dxa"/>
            <w:vMerge/>
            <w:hideMark/>
          </w:tcPr>
          <w:p w14:paraId="53ECD776" w14:textId="77777777" w:rsidR="002030DB" w:rsidRPr="008C17AC" w:rsidRDefault="002030DB" w:rsidP="00F30987">
            <w:pPr>
              <w:spacing w:line="216" w:lineRule="auto"/>
              <w:jc w:val="center"/>
              <w:rPr>
                <w:rFonts w:ascii="Times New Roman" w:hAnsi="Times New Roman" w:cs="Times New Roman"/>
                <w:sz w:val="20"/>
                <w:szCs w:val="20"/>
              </w:rPr>
            </w:pPr>
          </w:p>
        </w:tc>
        <w:tc>
          <w:tcPr>
            <w:tcW w:w="3542" w:type="dxa"/>
            <w:hideMark/>
          </w:tcPr>
          <w:p w14:paraId="4012BEFB" w14:textId="77777777" w:rsidR="002030DB" w:rsidRPr="008C17AC" w:rsidRDefault="002030DB" w:rsidP="002030DB">
            <w:pPr>
              <w:spacing w:line="216" w:lineRule="auto"/>
              <w:rPr>
                <w:rFonts w:ascii="Times New Roman" w:hAnsi="Times New Roman" w:cs="Times New Roman"/>
                <w:sz w:val="20"/>
                <w:szCs w:val="20"/>
              </w:rPr>
            </w:pPr>
            <w:r w:rsidRPr="008C17AC">
              <w:rPr>
                <w:rFonts w:ascii="Times New Roman" w:hAnsi="Times New Roman" w:cs="Times New Roman"/>
                <w:sz w:val="20"/>
                <w:szCs w:val="20"/>
              </w:rPr>
              <w:t>journal policy strictness (data/code sharing)</w:t>
            </w:r>
          </w:p>
        </w:tc>
        <w:tc>
          <w:tcPr>
            <w:tcW w:w="426" w:type="dxa"/>
            <w:noWrap/>
            <w:hideMark/>
          </w:tcPr>
          <w:p w14:paraId="2A35795A"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708" w:type="dxa"/>
            <w:noWrap/>
            <w:hideMark/>
          </w:tcPr>
          <w:p w14:paraId="607D4730" w14:textId="77777777" w:rsidR="002030DB" w:rsidRPr="008C17AC" w:rsidRDefault="002030D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r>
      <w:tr w:rsidR="008C17AC" w:rsidRPr="008C17AC" w14:paraId="292AAD42" w14:textId="77777777" w:rsidTr="009E0421">
        <w:trPr>
          <w:trHeight w:val="227"/>
        </w:trPr>
        <w:tc>
          <w:tcPr>
            <w:tcW w:w="3313" w:type="dxa"/>
            <w:hideMark/>
          </w:tcPr>
          <w:p w14:paraId="253C02C9" w14:textId="012198F4" w:rsidR="00EF104F" w:rsidRPr="008C17AC" w:rsidRDefault="00EF104F" w:rsidP="005301A1">
            <w:pPr>
              <w:pStyle w:val="Lijstalinea"/>
              <w:numPr>
                <w:ilvl w:val="0"/>
                <w:numId w:val="2"/>
              </w:numPr>
              <w:spacing w:line="216" w:lineRule="auto"/>
              <w:rPr>
                <w:rFonts w:ascii="Times New Roman" w:hAnsi="Times New Roman" w:cs="Times New Roman"/>
                <w:sz w:val="20"/>
                <w:szCs w:val="20"/>
              </w:rPr>
            </w:pPr>
            <w:r w:rsidRPr="008C17AC">
              <w:rPr>
                <w:rFonts w:ascii="Times New Roman" w:hAnsi="Times New Roman" w:cs="Times New Roman"/>
                <w:sz w:val="20"/>
                <w:szCs w:val="20"/>
              </w:rPr>
              <w:t>on research quality</w:t>
            </w:r>
          </w:p>
        </w:tc>
        <w:tc>
          <w:tcPr>
            <w:tcW w:w="414" w:type="dxa"/>
            <w:hideMark/>
          </w:tcPr>
          <w:p w14:paraId="0A439185" w14:textId="77777777" w:rsidR="00EF104F" w:rsidRPr="008C17AC" w:rsidRDefault="00EF104F" w:rsidP="00F30987">
            <w:pPr>
              <w:spacing w:line="216" w:lineRule="auto"/>
              <w:jc w:val="center"/>
              <w:rPr>
                <w:rFonts w:ascii="Times New Roman" w:hAnsi="Times New Roman" w:cs="Times New Roman"/>
                <w:sz w:val="20"/>
                <w:szCs w:val="20"/>
              </w:rPr>
            </w:pPr>
          </w:p>
        </w:tc>
        <w:tc>
          <w:tcPr>
            <w:tcW w:w="664" w:type="dxa"/>
            <w:hideMark/>
          </w:tcPr>
          <w:p w14:paraId="5D324D24" w14:textId="77777777" w:rsidR="00EF104F" w:rsidRPr="008C17AC" w:rsidRDefault="00EF104F" w:rsidP="00F30987">
            <w:pPr>
              <w:spacing w:line="216" w:lineRule="auto"/>
              <w:jc w:val="center"/>
              <w:rPr>
                <w:rFonts w:ascii="Times New Roman" w:hAnsi="Times New Roman" w:cs="Times New Roman"/>
                <w:sz w:val="20"/>
                <w:szCs w:val="20"/>
              </w:rPr>
            </w:pPr>
          </w:p>
        </w:tc>
        <w:tc>
          <w:tcPr>
            <w:tcW w:w="3542" w:type="dxa"/>
            <w:hideMark/>
          </w:tcPr>
          <w:p w14:paraId="6DC65643" w14:textId="73FBC6F5" w:rsidR="00EF104F" w:rsidRPr="008C17AC" w:rsidRDefault="00EF104F" w:rsidP="00EF104F">
            <w:pPr>
              <w:spacing w:line="216" w:lineRule="auto"/>
              <w:rPr>
                <w:rFonts w:ascii="Times New Roman" w:hAnsi="Times New Roman" w:cs="Times New Roman"/>
                <w:i/>
                <w:iCs/>
                <w:sz w:val="20"/>
                <w:szCs w:val="20"/>
              </w:rPr>
            </w:pPr>
            <w:r w:rsidRPr="008C17AC">
              <w:rPr>
                <w:rFonts w:ascii="Times New Roman" w:hAnsi="Times New Roman" w:cs="Times New Roman"/>
                <w:sz w:val="20"/>
                <w:szCs w:val="20"/>
              </w:rPr>
              <w:t>journal submission guidelines on methodology</w:t>
            </w:r>
          </w:p>
        </w:tc>
        <w:tc>
          <w:tcPr>
            <w:tcW w:w="426" w:type="dxa"/>
            <w:noWrap/>
            <w:hideMark/>
          </w:tcPr>
          <w:p w14:paraId="6CE82FAA" w14:textId="1D0C9207" w:rsidR="00EF104F" w:rsidRPr="008C17AC" w:rsidRDefault="00EF104F"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2</w:t>
            </w:r>
          </w:p>
        </w:tc>
        <w:tc>
          <w:tcPr>
            <w:tcW w:w="708" w:type="dxa"/>
            <w:noWrap/>
            <w:hideMark/>
          </w:tcPr>
          <w:p w14:paraId="2279792E" w14:textId="064AD51D" w:rsidR="00EF104F" w:rsidRPr="008C17AC" w:rsidRDefault="00EF104F"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1.92</w:t>
            </w:r>
          </w:p>
        </w:tc>
      </w:tr>
      <w:tr w:rsidR="008C17AC" w:rsidRPr="008C17AC" w14:paraId="4173FCF3" w14:textId="77777777" w:rsidTr="009E0421">
        <w:trPr>
          <w:trHeight w:val="227"/>
        </w:trPr>
        <w:tc>
          <w:tcPr>
            <w:tcW w:w="3313" w:type="dxa"/>
            <w:vMerge w:val="restart"/>
            <w:hideMark/>
          </w:tcPr>
          <w:p w14:paraId="59F120F4" w14:textId="64C9DB05" w:rsidR="0031180B" w:rsidRPr="008C17AC" w:rsidRDefault="0031180B" w:rsidP="005301A1">
            <w:pPr>
              <w:pStyle w:val="Lijstalinea"/>
              <w:numPr>
                <w:ilvl w:val="0"/>
                <w:numId w:val="2"/>
              </w:numPr>
              <w:spacing w:line="216" w:lineRule="auto"/>
              <w:rPr>
                <w:rFonts w:ascii="Times New Roman" w:hAnsi="Times New Roman" w:cs="Times New Roman"/>
                <w:sz w:val="20"/>
                <w:szCs w:val="20"/>
              </w:rPr>
            </w:pPr>
            <w:r w:rsidRPr="008C17AC">
              <w:rPr>
                <w:rFonts w:ascii="Times New Roman" w:hAnsi="Times New Roman" w:cs="Times New Roman"/>
                <w:sz w:val="20"/>
                <w:szCs w:val="20"/>
              </w:rPr>
              <w:t>on acceptance and registration before study has started</w:t>
            </w:r>
          </w:p>
        </w:tc>
        <w:tc>
          <w:tcPr>
            <w:tcW w:w="414" w:type="dxa"/>
            <w:vMerge w:val="restart"/>
            <w:hideMark/>
          </w:tcPr>
          <w:p w14:paraId="128A0A7C" w14:textId="77777777" w:rsidR="0031180B" w:rsidRPr="008C17AC" w:rsidRDefault="0031180B" w:rsidP="00F30987">
            <w:pPr>
              <w:spacing w:line="216" w:lineRule="auto"/>
              <w:jc w:val="center"/>
              <w:rPr>
                <w:rFonts w:ascii="Times New Roman" w:hAnsi="Times New Roman" w:cs="Times New Roman"/>
                <w:sz w:val="20"/>
                <w:szCs w:val="20"/>
              </w:rPr>
            </w:pPr>
          </w:p>
        </w:tc>
        <w:tc>
          <w:tcPr>
            <w:tcW w:w="664" w:type="dxa"/>
            <w:vMerge w:val="restart"/>
            <w:hideMark/>
          </w:tcPr>
          <w:p w14:paraId="54C0E25B" w14:textId="77777777" w:rsidR="0031180B" w:rsidRPr="008C17AC" w:rsidRDefault="0031180B" w:rsidP="00F30987">
            <w:pPr>
              <w:spacing w:line="216" w:lineRule="auto"/>
              <w:jc w:val="center"/>
              <w:rPr>
                <w:rFonts w:ascii="Times New Roman" w:hAnsi="Times New Roman" w:cs="Times New Roman"/>
                <w:sz w:val="20"/>
                <w:szCs w:val="20"/>
              </w:rPr>
            </w:pPr>
          </w:p>
        </w:tc>
        <w:tc>
          <w:tcPr>
            <w:tcW w:w="3542" w:type="dxa"/>
            <w:hideMark/>
          </w:tcPr>
          <w:p w14:paraId="06B89674" w14:textId="083D60D0" w:rsidR="0031180B" w:rsidRPr="008C17AC" w:rsidRDefault="0031180B" w:rsidP="00F22866">
            <w:pPr>
              <w:spacing w:line="216" w:lineRule="auto"/>
              <w:rPr>
                <w:rFonts w:ascii="Times New Roman" w:hAnsi="Times New Roman" w:cs="Times New Roman"/>
                <w:i/>
                <w:iCs/>
                <w:sz w:val="20"/>
                <w:szCs w:val="20"/>
              </w:rPr>
            </w:pPr>
            <w:r w:rsidRPr="008C17AC">
              <w:rPr>
                <w:rFonts w:ascii="Times New Roman" w:hAnsi="Times New Roman" w:cs="Times New Roman"/>
                <w:sz w:val="20"/>
                <w:szCs w:val="20"/>
              </w:rPr>
              <w:t>journal accepts regardless outcome</w:t>
            </w:r>
          </w:p>
        </w:tc>
        <w:tc>
          <w:tcPr>
            <w:tcW w:w="426" w:type="dxa"/>
            <w:noWrap/>
            <w:hideMark/>
          </w:tcPr>
          <w:p w14:paraId="72708800" w14:textId="35B7C9AE" w:rsidR="0031180B" w:rsidRPr="008C17AC" w:rsidRDefault="0031180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708" w:type="dxa"/>
            <w:noWrap/>
            <w:hideMark/>
          </w:tcPr>
          <w:p w14:paraId="621E5A1D" w14:textId="66C0E1F0" w:rsidR="0031180B" w:rsidRPr="008C17AC" w:rsidRDefault="0031180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r>
      <w:tr w:rsidR="008C17AC" w:rsidRPr="008C17AC" w14:paraId="5282CAB3" w14:textId="77777777" w:rsidTr="009E0421">
        <w:trPr>
          <w:trHeight w:val="227"/>
        </w:trPr>
        <w:tc>
          <w:tcPr>
            <w:tcW w:w="3313" w:type="dxa"/>
            <w:vMerge/>
            <w:hideMark/>
          </w:tcPr>
          <w:p w14:paraId="79948623" w14:textId="77777777" w:rsidR="0031180B" w:rsidRPr="008C17AC" w:rsidRDefault="0031180B" w:rsidP="00F22866">
            <w:pPr>
              <w:spacing w:line="216" w:lineRule="auto"/>
              <w:rPr>
                <w:rFonts w:ascii="Times New Roman" w:hAnsi="Times New Roman" w:cs="Times New Roman"/>
                <w:sz w:val="20"/>
                <w:szCs w:val="20"/>
              </w:rPr>
            </w:pPr>
          </w:p>
        </w:tc>
        <w:tc>
          <w:tcPr>
            <w:tcW w:w="414" w:type="dxa"/>
            <w:vMerge/>
            <w:hideMark/>
          </w:tcPr>
          <w:p w14:paraId="51EADDC8" w14:textId="77777777" w:rsidR="0031180B" w:rsidRPr="008C17AC" w:rsidRDefault="0031180B" w:rsidP="00F30987">
            <w:pPr>
              <w:spacing w:line="216" w:lineRule="auto"/>
              <w:jc w:val="center"/>
              <w:rPr>
                <w:rFonts w:ascii="Times New Roman" w:hAnsi="Times New Roman" w:cs="Times New Roman"/>
                <w:sz w:val="20"/>
                <w:szCs w:val="20"/>
              </w:rPr>
            </w:pPr>
          </w:p>
        </w:tc>
        <w:tc>
          <w:tcPr>
            <w:tcW w:w="664" w:type="dxa"/>
            <w:vMerge/>
            <w:hideMark/>
          </w:tcPr>
          <w:p w14:paraId="3A4B1F3E" w14:textId="77777777" w:rsidR="0031180B" w:rsidRPr="008C17AC" w:rsidRDefault="0031180B" w:rsidP="00F30987">
            <w:pPr>
              <w:spacing w:line="216" w:lineRule="auto"/>
              <w:jc w:val="center"/>
              <w:rPr>
                <w:rFonts w:ascii="Times New Roman" w:hAnsi="Times New Roman" w:cs="Times New Roman"/>
                <w:sz w:val="20"/>
                <w:szCs w:val="20"/>
              </w:rPr>
            </w:pPr>
          </w:p>
        </w:tc>
        <w:tc>
          <w:tcPr>
            <w:tcW w:w="3542" w:type="dxa"/>
            <w:hideMark/>
          </w:tcPr>
          <w:p w14:paraId="6EFA6257" w14:textId="77777777" w:rsidR="0031180B" w:rsidRPr="008C17AC" w:rsidRDefault="0031180B" w:rsidP="00F22866">
            <w:pPr>
              <w:spacing w:line="216" w:lineRule="auto"/>
              <w:rPr>
                <w:rFonts w:ascii="Times New Roman" w:hAnsi="Times New Roman" w:cs="Times New Roman"/>
                <w:sz w:val="20"/>
                <w:szCs w:val="20"/>
              </w:rPr>
            </w:pPr>
            <w:r w:rsidRPr="008C17AC">
              <w:rPr>
                <w:rFonts w:ascii="Times New Roman" w:hAnsi="Times New Roman" w:cs="Times New Roman"/>
                <w:sz w:val="20"/>
                <w:szCs w:val="20"/>
              </w:rPr>
              <w:t>journal policy on trial registration</w:t>
            </w:r>
          </w:p>
        </w:tc>
        <w:tc>
          <w:tcPr>
            <w:tcW w:w="426" w:type="dxa"/>
            <w:noWrap/>
            <w:hideMark/>
          </w:tcPr>
          <w:p w14:paraId="169B9520" w14:textId="77777777" w:rsidR="0031180B" w:rsidRPr="008C17AC" w:rsidRDefault="0031180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3</w:t>
            </w:r>
          </w:p>
        </w:tc>
        <w:tc>
          <w:tcPr>
            <w:tcW w:w="708" w:type="dxa"/>
            <w:noWrap/>
            <w:hideMark/>
          </w:tcPr>
          <w:p w14:paraId="69B4A74B" w14:textId="77777777" w:rsidR="0031180B" w:rsidRPr="008C17AC" w:rsidRDefault="0031180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2.88</w:t>
            </w:r>
          </w:p>
        </w:tc>
      </w:tr>
      <w:tr w:rsidR="008C17AC" w:rsidRPr="008C17AC" w14:paraId="44EBA150" w14:textId="77777777" w:rsidTr="009E0421">
        <w:trPr>
          <w:trHeight w:val="227"/>
        </w:trPr>
        <w:tc>
          <w:tcPr>
            <w:tcW w:w="3313" w:type="dxa"/>
            <w:vMerge/>
            <w:hideMark/>
          </w:tcPr>
          <w:p w14:paraId="7EA728CA" w14:textId="77777777" w:rsidR="0031180B" w:rsidRPr="008C17AC" w:rsidRDefault="0031180B" w:rsidP="00F22866">
            <w:pPr>
              <w:spacing w:line="216" w:lineRule="auto"/>
              <w:rPr>
                <w:rFonts w:ascii="Times New Roman" w:hAnsi="Times New Roman" w:cs="Times New Roman"/>
                <w:sz w:val="20"/>
                <w:szCs w:val="20"/>
              </w:rPr>
            </w:pPr>
          </w:p>
        </w:tc>
        <w:tc>
          <w:tcPr>
            <w:tcW w:w="414" w:type="dxa"/>
            <w:vMerge/>
            <w:hideMark/>
          </w:tcPr>
          <w:p w14:paraId="6DD4BF92" w14:textId="77777777" w:rsidR="0031180B" w:rsidRPr="008C17AC" w:rsidRDefault="0031180B" w:rsidP="00F30987">
            <w:pPr>
              <w:spacing w:line="216" w:lineRule="auto"/>
              <w:jc w:val="center"/>
              <w:rPr>
                <w:rFonts w:ascii="Times New Roman" w:hAnsi="Times New Roman" w:cs="Times New Roman"/>
                <w:sz w:val="20"/>
                <w:szCs w:val="20"/>
              </w:rPr>
            </w:pPr>
          </w:p>
        </w:tc>
        <w:tc>
          <w:tcPr>
            <w:tcW w:w="664" w:type="dxa"/>
            <w:vMerge/>
            <w:hideMark/>
          </w:tcPr>
          <w:p w14:paraId="15C63D5A" w14:textId="77777777" w:rsidR="0031180B" w:rsidRPr="008C17AC" w:rsidRDefault="0031180B" w:rsidP="00F30987">
            <w:pPr>
              <w:spacing w:line="216" w:lineRule="auto"/>
              <w:jc w:val="center"/>
              <w:rPr>
                <w:rFonts w:ascii="Times New Roman" w:hAnsi="Times New Roman" w:cs="Times New Roman"/>
                <w:sz w:val="20"/>
                <w:szCs w:val="20"/>
              </w:rPr>
            </w:pPr>
          </w:p>
        </w:tc>
        <w:tc>
          <w:tcPr>
            <w:tcW w:w="3542" w:type="dxa"/>
            <w:hideMark/>
          </w:tcPr>
          <w:p w14:paraId="712C5C2A" w14:textId="77777777" w:rsidR="0031180B" w:rsidRPr="008C17AC" w:rsidRDefault="0031180B" w:rsidP="00F22866">
            <w:pPr>
              <w:spacing w:line="216" w:lineRule="auto"/>
              <w:rPr>
                <w:rFonts w:ascii="Times New Roman" w:hAnsi="Times New Roman" w:cs="Times New Roman"/>
                <w:sz w:val="20"/>
                <w:szCs w:val="20"/>
              </w:rPr>
            </w:pPr>
            <w:r w:rsidRPr="008C17AC">
              <w:rPr>
                <w:rFonts w:ascii="Times New Roman" w:hAnsi="Times New Roman" w:cs="Times New Roman"/>
                <w:sz w:val="20"/>
                <w:szCs w:val="20"/>
              </w:rPr>
              <w:t>ICMJE proposed trial registration</w:t>
            </w:r>
          </w:p>
        </w:tc>
        <w:tc>
          <w:tcPr>
            <w:tcW w:w="426" w:type="dxa"/>
            <w:noWrap/>
            <w:hideMark/>
          </w:tcPr>
          <w:p w14:paraId="4DD8B97C" w14:textId="77777777" w:rsidR="0031180B" w:rsidRPr="008C17AC" w:rsidRDefault="0031180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2</w:t>
            </w:r>
          </w:p>
        </w:tc>
        <w:tc>
          <w:tcPr>
            <w:tcW w:w="708" w:type="dxa"/>
            <w:noWrap/>
            <w:hideMark/>
          </w:tcPr>
          <w:p w14:paraId="0E509833" w14:textId="77777777" w:rsidR="0031180B" w:rsidRPr="008C17AC" w:rsidRDefault="0031180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1.92</w:t>
            </w:r>
          </w:p>
        </w:tc>
      </w:tr>
      <w:tr w:rsidR="0031180B" w:rsidRPr="008C17AC" w14:paraId="73E52981" w14:textId="77777777" w:rsidTr="009E0421">
        <w:trPr>
          <w:trHeight w:val="227"/>
        </w:trPr>
        <w:tc>
          <w:tcPr>
            <w:tcW w:w="3313" w:type="dxa"/>
            <w:vMerge/>
            <w:hideMark/>
          </w:tcPr>
          <w:p w14:paraId="1E984A2A" w14:textId="77777777" w:rsidR="0031180B" w:rsidRPr="008C17AC" w:rsidRDefault="0031180B" w:rsidP="00F22866">
            <w:pPr>
              <w:spacing w:line="216" w:lineRule="auto"/>
              <w:rPr>
                <w:rFonts w:ascii="Times New Roman" w:hAnsi="Times New Roman" w:cs="Times New Roman"/>
                <w:sz w:val="20"/>
                <w:szCs w:val="20"/>
              </w:rPr>
            </w:pPr>
          </w:p>
        </w:tc>
        <w:tc>
          <w:tcPr>
            <w:tcW w:w="414" w:type="dxa"/>
            <w:vMerge/>
            <w:hideMark/>
          </w:tcPr>
          <w:p w14:paraId="5361E767" w14:textId="77777777" w:rsidR="0031180B" w:rsidRPr="008C17AC" w:rsidRDefault="0031180B" w:rsidP="00F30987">
            <w:pPr>
              <w:spacing w:line="216" w:lineRule="auto"/>
              <w:jc w:val="center"/>
              <w:rPr>
                <w:rFonts w:ascii="Times New Roman" w:hAnsi="Times New Roman" w:cs="Times New Roman"/>
                <w:sz w:val="20"/>
                <w:szCs w:val="20"/>
              </w:rPr>
            </w:pPr>
          </w:p>
        </w:tc>
        <w:tc>
          <w:tcPr>
            <w:tcW w:w="664" w:type="dxa"/>
            <w:vMerge/>
            <w:hideMark/>
          </w:tcPr>
          <w:p w14:paraId="6DF73275" w14:textId="77777777" w:rsidR="0031180B" w:rsidRPr="008C17AC" w:rsidRDefault="0031180B" w:rsidP="00F30987">
            <w:pPr>
              <w:spacing w:line="216" w:lineRule="auto"/>
              <w:jc w:val="center"/>
              <w:rPr>
                <w:rFonts w:ascii="Times New Roman" w:hAnsi="Times New Roman" w:cs="Times New Roman"/>
                <w:sz w:val="20"/>
                <w:szCs w:val="20"/>
              </w:rPr>
            </w:pPr>
          </w:p>
        </w:tc>
        <w:tc>
          <w:tcPr>
            <w:tcW w:w="3542" w:type="dxa"/>
            <w:hideMark/>
          </w:tcPr>
          <w:p w14:paraId="3F579CC1" w14:textId="77777777" w:rsidR="0031180B" w:rsidRPr="008C17AC" w:rsidRDefault="0031180B" w:rsidP="00F22866">
            <w:pPr>
              <w:spacing w:line="216" w:lineRule="auto"/>
              <w:rPr>
                <w:rFonts w:ascii="Times New Roman" w:hAnsi="Times New Roman" w:cs="Times New Roman"/>
                <w:sz w:val="20"/>
                <w:szCs w:val="20"/>
              </w:rPr>
            </w:pPr>
            <w:r w:rsidRPr="008C17AC">
              <w:rPr>
                <w:rFonts w:ascii="Times New Roman" w:hAnsi="Times New Roman" w:cs="Times New Roman"/>
                <w:sz w:val="20"/>
                <w:szCs w:val="20"/>
              </w:rPr>
              <w:t>journal submission guidelines on preregistration</w:t>
            </w:r>
          </w:p>
        </w:tc>
        <w:tc>
          <w:tcPr>
            <w:tcW w:w="426" w:type="dxa"/>
            <w:noWrap/>
            <w:hideMark/>
          </w:tcPr>
          <w:p w14:paraId="1F256178" w14:textId="77777777" w:rsidR="0031180B" w:rsidRPr="008C17AC" w:rsidRDefault="0031180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708" w:type="dxa"/>
            <w:noWrap/>
            <w:hideMark/>
          </w:tcPr>
          <w:p w14:paraId="78190BC3" w14:textId="77777777" w:rsidR="0031180B" w:rsidRPr="008C17AC" w:rsidRDefault="0031180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r>
      <w:tr w:rsidR="008C17AC" w:rsidRPr="008C17AC" w14:paraId="4228E307" w14:textId="77777777" w:rsidTr="009E0421">
        <w:trPr>
          <w:trHeight w:val="227"/>
        </w:trPr>
        <w:tc>
          <w:tcPr>
            <w:tcW w:w="3313" w:type="dxa"/>
            <w:vMerge/>
            <w:hideMark/>
          </w:tcPr>
          <w:p w14:paraId="397628D5" w14:textId="77777777" w:rsidR="0031180B" w:rsidRPr="008C17AC" w:rsidRDefault="0031180B" w:rsidP="00F22866">
            <w:pPr>
              <w:spacing w:line="216" w:lineRule="auto"/>
              <w:rPr>
                <w:rFonts w:ascii="Times New Roman" w:hAnsi="Times New Roman" w:cs="Times New Roman"/>
                <w:sz w:val="20"/>
                <w:szCs w:val="20"/>
              </w:rPr>
            </w:pPr>
          </w:p>
        </w:tc>
        <w:tc>
          <w:tcPr>
            <w:tcW w:w="414" w:type="dxa"/>
            <w:vMerge/>
            <w:hideMark/>
          </w:tcPr>
          <w:p w14:paraId="05094DAC" w14:textId="77777777" w:rsidR="0031180B" w:rsidRPr="008C17AC" w:rsidRDefault="0031180B" w:rsidP="00F30987">
            <w:pPr>
              <w:spacing w:line="216" w:lineRule="auto"/>
              <w:jc w:val="center"/>
              <w:rPr>
                <w:rFonts w:ascii="Times New Roman" w:hAnsi="Times New Roman" w:cs="Times New Roman"/>
                <w:sz w:val="20"/>
                <w:szCs w:val="20"/>
              </w:rPr>
            </w:pPr>
          </w:p>
        </w:tc>
        <w:tc>
          <w:tcPr>
            <w:tcW w:w="664" w:type="dxa"/>
            <w:vMerge/>
            <w:hideMark/>
          </w:tcPr>
          <w:p w14:paraId="50F56E3D" w14:textId="77777777" w:rsidR="0031180B" w:rsidRPr="008C17AC" w:rsidRDefault="0031180B" w:rsidP="00F30987">
            <w:pPr>
              <w:spacing w:line="216" w:lineRule="auto"/>
              <w:jc w:val="center"/>
              <w:rPr>
                <w:rFonts w:ascii="Times New Roman" w:hAnsi="Times New Roman" w:cs="Times New Roman"/>
                <w:sz w:val="20"/>
                <w:szCs w:val="20"/>
              </w:rPr>
            </w:pPr>
          </w:p>
        </w:tc>
        <w:tc>
          <w:tcPr>
            <w:tcW w:w="3542" w:type="dxa"/>
            <w:hideMark/>
          </w:tcPr>
          <w:p w14:paraId="7293012F" w14:textId="77777777" w:rsidR="0031180B" w:rsidRPr="008C17AC" w:rsidRDefault="0031180B" w:rsidP="00F22866">
            <w:pPr>
              <w:spacing w:line="216" w:lineRule="auto"/>
              <w:rPr>
                <w:rFonts w:ascii="Times New Roman" w:hAnsi="Times New Roman" w:cs="Times New Roman"/>
                <w:sz w:val="20"/>
                <w:szCs w:val="20"/>
              </w:rPr>
            </w:pPr>
            <w:r w:rsidRPr="008C17AC">
              <w:rPr>
                <w:rFonts w:ascii="Times New Roman" w:hAnsi="Times New Roman" w:cs="Times New Roman"/>
                <w:sz w:val="20"/>
                <w:szCs w:val="20"/>
              </w:rPr>
              <w:t>FDA trial registration policy</w:t>
            </w:r>
          </w:p>
        </w:tc>
        <w:tc>
          <w:tcPr>
            <w:tcW w:w="426" w:type="dxa"/>
            <w:noWrap/>
            <w:hideMark/>
          </w:tcPr>
          <w:p w14:paraId="0CA15EEA" w14:textId="77777777" w:rsidR="0031180B" w:rsidRPr="008C17AC" w:rsidRDefault="0031180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708" w:type="dxa"/>
            <w:noWrap/>
            <w:hideMark/>
          </w:tcPr>
          <w:p w14:paraId="25C2EDC8" w14:textId="77777777" w:rsidR="0031180B" w:rsidRPr="008C17AC" w:rsidRDefault="0031180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r>
      <w:tr w:rsidR="008C17AC" w:rsidRPr="008C17AC" w14:paraId="5FD8ABB7" w14:textId="77777777" w:rsidTr="009E0421">
        <w:trPr>
          <w:trHeight w:val="227"/>
        </w:trPr>
        <w:tc>
          <w:tcPr>
            <w:tcW w:w="3313" w:type="dxa"/>
            <w:vMerge w:val="restart"/>
            <w:hideMark/>
          </w:tcPr>
          <w:p w14:paraId="359A676C" w14:textId="756F821C" w:rsidR="0031180B" w:rsidRPr="008C17AC" w:rsidRDefault="0031180B" w:rsidP="005301A1">
            <w:pPr>
              <w:pStyle w:val="Lijstalinea"/>
              <w:numPr>
                <w:ilvl w:val="0"/>
                <w:numId w:val="2"/>
              </w:numPr>
              <w:spacing w:line="216" w:lineRule="auto"/>
              <w:rPr>
                <w:rFonts w:ascii="Times New Roman" w:hAnsi="Times New Roman" w:cs="Times New Roman"/>
                <w:sz w:val="20"/>
                <w:szCs w:val="20"/>
              </w:rPr>
            </w:pPr>
            <w:r w:rsidRPr="008C17AC">
              <w:rPr>
                <w:rFonts w:ascii="Times New Roman" w:hAnsi="Times New Roman" w:cs="Times New Roman"/>
                <w:sz w:val="20"/>
                <w:szCs w:val="20"/>
              </w:rPr>
              <w:t>on reporting checklists or guidance</w:t>
            </w:r>
          </w:p>
        </w:tc>
        <w:tc>
          <w:tcPr>
            <w:tcW w:w="414" w:type="dxa"/>
            <w:vMerge w:val="restart"/>
            <w:hideMark/>
          </w:tcPr>
          <w:p w14:paraId="7F7E78F1" w14:textId="77777777" w:rsidR="0031180B" w:rsidRPr="008C17AC" w:rsidRDefault="0031180B" w:rsidP="00F30987">
            <w:pPr>
              <w:spacing w:line="216" w:lineRule="auto"/>
              <w:jc w:val="center"/>
              <w:rPr>
                <w:rFonts w:ascii="Times New Roman" w:hAnsi="Times New Roman" w:cs="Times New Roman"/>
                <w:sz w:val="20"/>
                <w:szCs w:val="20"/>
              </w:rPr>
            </w:pPr>
          </w:p>
        </w:tc>
        <w:tc>
          <w:tcPr>
            <w:tcW w:w="664" w:type="dxa"/>
            <w:vMerge w:val="restart"/>
            <w:hideMark/>
          </w:tcPr>
          <w:p w14:paraId="31F2A62B" w14:textId="77777777" w:rsidR="0031180B" w:rsidRPr="008C17AC" w:rsidRDefault="0031180B" w:rsidP="00F30987">
            <w:pPr>
              <w:spacing w:line="216" w:lineRule="auto"/>
              <w:jc w:val="center"/>
              <w:rPr>
                <w:rFonts w:ascii="Times New Roman" w:hAnsi="Times New Roman" w:cs="Times New Roman"/>
                <w:sz w:val="20"/>
                <w:szCs w:val="20"/>
              </w:rPr>
            </w:pPr>
          </w:p>
        </w:tc>
        <w:tc>
          <w:tcPr>
            <w:tcW w:w="3542" w:type="dxa"/>
            <w:hideMark/>
          </w:tcPr>
          <w:p w14:paraId="44DD99C3" w14:textId="0A89EA75" w:rsidR="0031180B" w:rsidRPr="008C17AC" w:rsidRDefault="0031180B" w:rsidP="00ED47FA">
            <w:pPr>
              <w:spacing w:line="216" w:lineRule="auto"/>
              <w:rPr>
                <w:rFonts w:ascii="Times New Roman" w:hAnsi="Times New Roman" w:cs="Times New Roman"/>
                <w:i/>
                <w:iCs/>
                <w:sz w:val="20"/>
                <w:szCs w:val="20"/>
              </w:rPr>
            </w:pPr>
            <w:r w:rsidRPr="008C17AC">
              <w:rPr>
                <w:rFonts w:ascii="Times New Roman" w:hAnsi="Times New Roman" w:cs="Times New Roman"/>
                <w:sz w:val="20"/>
                <w:szCs w:val="20"/>
              </w:rPr>
              <w:t>journal endorses reporting checklist</w:t>
            </w:r>
          </w:p>
        </w:tc>
        <w:tc>
          <w:tcPr>
            <w:tcW w:w="426" w:type="dxa"/>
            <w:noWrap/>
            <w:hideMark/>
          </w:tcPr>
          <w:p w14:paraId="04609507" w14:textId="67F43C54" w:rsidR="0031180B" w:rsidRPr="008C17AC" w:rsidRDefault="0031180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4</w:t>
            </w:r>
          </w:p>
        </w:tc>
        <w:tc>
          <w:tcPr>
            <w:tcW w:w="708" w:type="dxa"/>
            <w:noWrap/>
            <w:hideMark/>
          </w:tcPr>
          <w:p w14:paraId="0841D017" w14:textId="1FBB5AB4" w:rsidR="0031180B" w:rsidRPr="008C17AC" w:rsidRDefault="0031180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3.85</w:t>
            </w:r>
          </w:p>
        </w:tc>
      </w:tr>
      <w:tr w:rsidR="008C17AC" w:rsidRPr="008C17AC" w14:paraId="21A3F84D" w14:textId="77777777" w:rsidTr="009E0421">
        <w:trPr>
          <w:trHeight w:val="227"/>
        </w:trPr>
        <w:tc>
          <w:tcPr>
            <w:tcW w:w="3313" w:type="dxa"/>
            <w:vMerge/>
            <w:hideMark/>
          </w:tcPr>
          <w:p w14:paraId="37D0A8AD" w14:textId="77777777" w:rsidR="0031180B" w:rsidRPr="008C17AC" w:rsidRDefault="0031180B" w:rsidP="00ED47FA">
            <w:pPr>
              <w:spacing w:line="216" w:lineRule="auto"/>
              <w:rPr>
                <w:rFonts w:ascii="Times New Roman" w:hAnsi="Times New Roman" w:cs="Times New Roman"/>
                <w:sz w:val="20"/>
                <w:szCs w:val="20"/>
              </w:rPr>
            </w:pPr>
          </w:p>
        </w:tc>
        <w:tc>
          <w:tcPr>
            <w:tcW w:w="414" w:type="dxa"/>
            <w:vMerge/>
            <w:hideMark/>
          </w:tcPr>
          <w:p w14:paraId="5AE3C17F" w14:textId="77777777" w:rsidR="0031180B" w:rsidRPr="008C17AC" w:rsidRDefault="0031180B" w:rsidP="00F30987">
            <w:pPr>
              <w:spacing w:line="216" w:lineRule="auto"/>
              <w:jc w:val="center"/>
              <w:rPr>
                <w:rFonts w:ascii="Times New Roman" w:hAnsi="Times New Roman" w:cs="Times New Roman"/>
                <w:sz w:val="20"/>
                <w:szCs w:val="20"/>
              </w:rPr>
            </w:pPr>
          </w:p>
        </w:tc>
        <w:tc>
          <w:tcPr>
            <w:tcW w:w="664" w:type="dxa"/>
            <w:vMerge/>
            <w:hideMark/>
          </w:tcPr>
          <w:p w14:paraId="6E831E5E" w14:textId="77777777" w:rsidR="0031180B" w:rsidRPr="008C17AC" w:rsidRDefault="0031180B" w:rsidP="00F30987">
            <w:pPr>
              <w:spacing w:line="216" w:lineRule="auto"/>
              <w:jc w:val="center"/>
              <w:rPr>
                <w:rFonts w:ascii="Times New Roman" w:hAnsi="Times New Roman" w:cs="Times New Roman"/>
                <w:sz w:val="20"/>
                <w:szCs w:val="20"/>
              </w:rPr>
            </w:pPr>
          </w:p>
        </w:tc>
        <w:tc>
          <w:tcPr>
            <w:tcW w:w="3542" w:type="dxa"/>
            <w:hideMark/>
          </w:tcPr>
          <w:p w14:paraId="3730F84E" w14:textId="77777777" w:rsidR="0031180B" w:rsidRPr="008C17AC" w:rsidRDefault="0031180B"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ICMJE endorses reporting guideline</w:t>
            </w:r>
          </w:p>
        </w:tc>
        <w:tc>
          <w:tcPr>
            <w:tcW w:w="426" w:type="dxa"/>
            <w:noWrap/>
            <w:hideMark/>
          </w:tcPr>
          <w:p w14:paraId="6CB2A16C" w14:textId="77777777" w:rsidR="0031180B" w:rsidRPr="008C17AC" w:rsidRDefault="0031180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708" w:type="dxa"/>
            <w:noWrap/>
            <w:hideMark/>
          </w:tcPr>
          <w:p w14:paraId="1BE7AB51" w14:textId="77777777" w:rsidR="0031180B" w:rsidRPr="008C17AC" w:rsidRDefault="0031180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r>
      <w:tr w:rsidR="0031180B" w:rsidRPr="008C17AC" w14:paraId="0B730C1C" w14:textId="77777777" w:rsidTr="009E0421">
        <w:trPr>
          <w:trHeight w:val="227"/>
        </w:trPr>
        <w:tc>
          <w:tcPr>
            <w:tcW w:w="3313" w:type="dxa"/>
            <w:vMerge/>
            <w:hideMark/>
          </w:tcPr>
          <w:p w14:paraId="2A796C74" w14:textId="77777777" w:rsidR="0031180B" w:rsidRPr="008C17AC" w:rsidRDefault="0031180B" w:rsidP="00ED47FA">
            <w:pPr>
              <w:spacing w:line="216" w:lineRule="auto"/>
              <w:rPr>
                <w:rFonts w:ascii="Times New Roman" w:hAnsi="Times New Roman" w:cs="Times New Roman"/>
                <w:sz w:val="20"/>
                <w:szCs w:val="20"/>
              </w:rPr>
            </w:pPr>
          </w:p>
        </w:tc>
        <w:tc>
          <w:tcPr>
            <w:tcW w:w="414" w:type="dxa"/>
            <w:vMerge/>
            <w:hideMark/>
          </w:tcPr>
          <w:p w14:paraId="0F4266C0" w14:textId="77777777" w:rsidR="0031180B" w:rsidRPr="008C17AC" w:rsidRDefault="0031180B" w:rsidP="00F30987">
            <w:pPr>
              <w:spacing w:line="216" w:lineRule="auto"/>
              <w:jc w:val="center"/>
              <w:rPr>
                <w:rFonts w:ascii="Times New Roman" w:hAnsi="Times New Roman" w:cs="Times New Roman"/>
                <w:sz w:val="20"/>
                <w:szCs w:val="20"/>
              </w:rPr>
            </w:pPr>
          </w:p>
        </w:tc>
        <w:tc>
          <w:tcPr>
            <w:tcW w:w="664" w:type="dxa"/>
            <w:vMerge/>
            <w:hideMark/>
          </w:tcPr>
          <w:p w14:paraId="016C879B" w14:textId="77777777" w:rsidR="0031180B" w:rsidRPr="008C17AC" w:rsidRDefault="0031180B" w:rsidP="00F30987">
            <w:pPr>
              <w:spacing w:line="216" w:lineRule="auto"/>
              <w:jc w:val="center"/>
              <w:rPr>
                <w:rFonts w:ascii="Times New Roman" w:hAnsi="Times New Roman" w:cs="Times New Roman"/>
                <w:sz w:val="20"/>
                <w:szCs w:val="20"/>
              </w:rPr>
            </w:pPr>
          </w:p>
        </w:tc>
        <w:tc>
          <w:tcPr>
            <w:tcW w:w="3542" w:type="dxa"/>
            <w:hideMark/>
          </w:tcPr>
          <w:p w14:paraId="3B9AED19" w14:textId="77777777" w:rsidR="0031180B" w:rsidRPr="008C17AC" w:rsidRDefault="0031180B"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journal requires reporting checklist</w:t>
            </w:r>
          </w:p>
        </w:tc>
        <w:tc>
          <w:tcPr>
            <w:tcW w:w="426" w:type="dxa"/>
            <w:noWrap/>
            <w:hideMark/>
          </w:tcPr>
          <w:p w14:paraId="41869CDE" w14:textId="77777777" w:rsidR="0031180B" w:rsidRPr="008C17AC" w:rsidRDefault="0031180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2</w:t>
            </w:r>
          </w:p>
        </w:tc>
        <w:tc>
          <w:tcPr>
            <w:tcW w:w="708" w:type="dxa"/>
            <w:noWrap/>
            <w:hideMark/>
          </w:tcPr>
          <w:p w14:paraId="643CCC35" w14:textId="77777777" w:rsidR="0031180B" w:rsidRPr="008C17AC" w:rsidRDefault="0031180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1.92</w:t>
            </w:r>
          </w:p>
        </w:tc>
      </w:tr>
      <w:tr w:rsidR="008C17AC" w:rsidRPr="008C17AC" w14:paraId="7BED3A62" w14:textId="77777777" w:rsidTr="009E0421">
        <w:trPr>
          <w:trHeight w:val="227"/>
        </w:trPr>
        <w:tc>
          <w:tcPr>
            <w:tcW w:w="3313" w:type="dxa"/>
            <w:vMerge/>
            <w:hideMark/>
          </w:tcPr>
          <w:p w14:paraId="57A45581" w14:textId="77777777" w:rsidR="0031180B" w:rsidRPr="008C17AC" w:rsidRDefault="0031180B" w:rsidP="00ED47FA">
            <w:pPr>
              <w:spacing w:line="216" w:lineRule="auto"/>
              <w:rPr>
                <w:rFonts w:ascii="Times New Roman" w:hAnsi="Times New Roman" w:cs="Times New Roman"/>
                <w:sz w:val="20"/>
                <w:szCs w:val="20"/>
              </w:rPr>
            </w:pPr>
          </w:p>
        </w:tc>
        <w:tc>
          <w:tcPr>
            <w:tcW w:w="414" w:type="dxa"/>
            <w:vMerge/>
            <w:hideMark/>
          </w:tcPr>
          <w:p w14:paraId="56710CB4" w14:textId="77777777" w:rsidR="0031180B" w:rsidRPr="008C17AC" w:rsidRDefault="0031180B" w:rsidP="00F30987">
            <w:pPr>
              <w:spacing w:line="216" w:lineRule="auto"/>
              <w:jc w:val="center"/>
              <w:rPr>
                <w:rFonts w:ascii="Times New Roman" w:hAnsi="Times New Roman" w:cs="Times New Roman"/>
                <w:sz w:val="20"/>
                <w:szCs w:val="20"/>
              </w:rPr>
            </w:pPr>
          </w:p>
        </w:tc>
        <w:tc>
          <w:tcPr>
            <w:tcW w:w="664" w:type="dxa"/>
            <w:vMerge/>
            <w:hideMark/>
          </w:tcPr>
          <w:p w14:paraId="4A01433C" w14:textId="77777777" w:rsidR="0031180B" w:rsidRPr="008C17AC" w:rsidRDefault="0031180B" w:rsidP="00F30987">
            <w:pPr>
              <w:spacing w:line="216" w:lineRule="auto"/>
              <w:jc w:val="center"/>
              <w:rPr>
                <w:rFonts w:ascii="Times New Roman" w:hAnsi="Times New Roman" w:cs="Times New Roman"/>
                <w:sz w:val="20"/>
                <w:szCs w:val="20"/>
              </w:rPr>
            </w:pPr>
          </w:p>
        </w:tc>
        <w:tc>
          <w:tcPr>
            <w:tcW w:w="3542" w:type="dxa"/>
            <w:hideMark/>
          </w:tcPr>
          <w:p w14:paraId="2D7D3994" w14:textId="77777777" w:rsidR="0031180B" w:rsidRPr="008C17AC" w:rsidRDefault="0031180B"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journal submission guidelines on reporting guidelines</w:t>
            </w:r>
          </w:p>
        </w:tc>
        <w:tc>
          <w:tcPr>
            <w:tcW w:w="426" w:type="dxa"/>
            <w:noWrap/>
            <w:hideMark/>
          </w:tcPr>
          <w:p w14:paraId="3816A202" w14:textId="77777777" w:rsidR="0031180B" w:rsidRPr="008C17AC" w:rsidRDefault="0031180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708" w:type="dxa"/>
            <w:noWrap/>
            <w:hideMark/>
          </w:tcPr>
          <w:p w14:paraId="5751E5E4" w14:textId="77777777" w:rsidR="0031180B" w:rsidRPr="008C17AC" w:rsidRDefault="0031180B"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r>
      <w:tr w:rsidR="004021AE" w:rsidRPr="008C17AC" w14:paraId="31B72A7F" w14:textId="77777777" w:rsidTr="009E0421">
        <w:trPr>
          <w:trHeight w:val="227"/>
        </w:trPr>
        <w:tc>
          <w:tcPr>
            <w:tcW w:w="3313" w:type="dxa"/>
            <w:hideMark/>
          </w:tcPr>
          <w:p w14:paraId="56E5CAA5" w14:textId="77777777" w:rsidR="004021AE" w:rsidRPr="008C17AC" w:rsidRDefault="004021AE" w:rsidP="00ED47FA">
            <w:pPr>
              <w:spacing w:line="216" w:lineRule="auto"/>
              <w:rPr>
                <w:rFonts w:ascii="Times New Roman" w:hAnsi="Times New Roman" w:cs="Times New Roman"/>
                <w:b/>
                <w:bCs/>
                <w:sz w:val="20"/>
                <w:szCs w:val="20"/>
              </w:rPr>
            </w:pPr>
            <w:r w:rsidRPr="008C17AC">
              <w:rPr>
                <w:rFonts w:ascii="Times New Roman" w:hAnsi="Times New Roman" w:cs="Times New Roman"/>
                <w:b/>
                <w:bCs/>
                <w:sz w:val="20"/>
                <w:szCs w:val="20"/>
              </w:rPr>
              <w:t>Open data and materials</w:t>
            </w:r>
          </w:p>
        </w:tc>
        <w:tc>
          <w:tcPr>
            <w:tcW w:w="5754" w:type="dxa"/>
            <w:gridSpan w:val="5"/>
            <w:noWrap/>
            <w:hideMark/>
          </w:tcPr>
          <w:p w14:paraId="782B570B" w14:textId="4EE52F4F" w:rsidR="004021AE" w:rsidRPr="008C17AC" w:rsidRDefault="004021AE" w:rsidP="00F30987">
            <w:pPr>
              <w:spacing w:line="216" w:lineRule="auto"/>
              <w:jc w:val="center"/>
              <w:rPr>
                <w:rFonts w:ascii="Times New Roman" w:hAnsi="Times New Roman" w:cs="Times New Roman"/>
                <w:sz w:val="20"/>
                <w:szCs w:val="20"/>
              </w:rPr>
            </w:pPr>
          </w:p>
        </w:tc>
      </w:tr>
      <w:tr w:rsidR="008C17AC" w:rsidRPr="008C17AC" w14:paraId="680997E3" w14:textId="77777777" w:rsidTr="009E0421">
        <w:trPr>
          <w:trHeight w:val="227"/>
        </w:trPr>
        <w:tc>
          <w:tcPr>
            <w:tcW w:w="3313" w:type="dxa"/>
            <w:hideMark/>
          </w:tcPr>
          <w:p w14:paraId="5AE61A62"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Data availability</w:t>
            </w:r>
          </w:p>
        </w:tc>
        <w:tc>
          <w:tcPr>
            <w:tcW w:w="414" w:type="dxa"/>
            <w:noWrap/>
            <w:hideMark/>
          </w:tcPr>
          <w:p w14:paraId="488F100C"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664" w:type="dxa"/>
            <w:noWrap/>
            <w:hideMark/>
          </w:tcPr>
          <w:p w14:paraId="33676C29"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c>
          <w:tcPr>
            <w:tcW w:w="3542" w:type="dxa"/>
            <w:hideMark/>
          </w:tcPr>
          <w:p w14:paraId="21AD2588"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authors shared data</w:t>
            </w:r>
          </w:p>
        </w:tc>
        <w:tc>
          <w:tcPr>
            <w:tcW w:w="426" w:type="dxa"/>
            <w:noWrap/>
            <w:hideMark/>
          </w:tcPr>
          <w:p w14:paraId="0A859492"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708" w:type="dxa"/>
            <w:noWrap/>
            <w:hideMark/>
          </w:tcPr>
          <w:p w14:paraId="41A1676D"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r>
      <w:tr w:rsidR="008C17AC" w:rsidRPr="008C17AC" w14:paraId="7793DB18" w14:textId="77777777" w:rsidTr="009E0421">
        <w:trPr>
          <w:trHeight w:val="227"/>
        </w:trPr>
        <w:tc>
          <w:tcPr>
            <w:tcW w:w="3313" w:type="dxa"/>
            <w:hideMark/>
          </w:tcPr>
          <w:p w14:paraId="5314D0C1"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Affirmative sharing declarations</w:t>
            </w:r>
          </w:p>
        </w:tc>
        <w:tc>
          <w:tcPr>
            <w:tcW w:w="414" w:type="dxa"/>
            <w:noWrap/>
            <w:hideMark/>
          </w:tcPr>
          <w:p w14:paraId="60996E87"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664" w:type="dxa"/>
            <w:noWrap/>
            <w:hideMark/>
          </w:tcPr>
          <w:p w14:paraId="793218E4"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c>
          <w:tcPr>
            <w:tcW w:w="3542" w:type="dxa"/>
            <w:hideMark/>
          </w:tcPr>
          <w:p w14:paraId="11F1D998"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data sharing statements</w:t>
            </w:r>
          </w:p>
        </w:tc>
        <w:tc>
          <w:tcPr>
            <w:tcW w:w="426" w:type="dxa"/>
            <w:noWrap/>
            <w:hideMark/>
          </w:tcPr>
          <w:p w14:paraId="06354BF4"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708" w:type="dxa"/>
            <w:noWrap/>
            <w:hideMark/>
          </w:tcPr>
          <w:p w14:paraId="45AF77CD"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r>
      <w:tr w:rsidR="004021AE" w:rsidRPr="008C17AC" w14:paraId="7742947B" w14:textId="77777777" w:rsidTr="009E0421">
        <w:trPr>
          <w:trHeight w:val="227"/>
        </w:trPr>
        <w:tc>
          <w:tcPr>
            <w:tcW w:w="3313" w:type="dxa"/>
            <w:hideMark/>
          </w:tcPr>
          <w:p w14:paraId="1DAB256D" w14:textId="77777777" w:rsidR="004021AE" w:rsidRPr="008C17AC" w:rsidRDefault="004021AE" w:rsidP="00ED47FA">
            <w:pPr>
              <w:spacing w:line="216" w:lineRule="auto"/>
              <w:rPr>
                <w:rFonts w:ascii="Times New Roman" w:hAnsi="Times New Roman" w:cs="Times New Roman"/>
                <w:b/>
                <w:bCs/>
                <w:sz w:val="20"/>
                <w:szCs w:val="20"/>
              </w:rPr>
            </w:pPr>
            <w:r w:rsidRPr="008C17AC">
              <w:rPr>
                <w:rFonts w:ascii="Times New Roman" w:hAnsi="Times New Roman" w:cs="Times New Roman"/>
                <w:b/>
                <w:bCs/>
                <w:sz w:val="20"/>
                <w:szCs w:val="20"/>
              </w:rPr>
              <w:t>Open educational resources</w:t>
            </w:r>
          </w:p>
        </w:tc>
        <w:tc>
          <w:tcPr>
            <w:tcW w:w="5754" w:type="dxa"/>
            <w:gridSpan w:val="5"/>
            <w:noWrap/>
            <w:hideMark/>
          </w:tcPr>
          <w:p w14:paraId="1BED3CCF" w14:textId="4954D4EC" w:rsidR="004021AE" w:rsidRPr="008C17AC" w:rsidRDefault="004021AE" w:rsidP="00F30987">
            <w:pPr>
              <w:spacing w:line="216" w:lineRule="auto"/>
              <w:jc w:val="center"/>
              <w:rPr>
                <w:rFonts w:ascii="Times New Roman" w:hAnsi="Times New Roman" w:cs="Times New Roman"/>
                <w:sz w:val="20"/>
                <w:szCs w:val="20"/>
              </w:rPr>
            </w:pPr>
          </w:p>
        </w:tc>
      </w:tr>
      <w:tr w:rsidR="008C17AC" w:rsidRPr="008C17AC" w14:paraId="5B283C47" w14:textId="77777777" w:rsidTr="009E0421">
        <w:trPr>
          <w:trHeight w:val="227"/>
        </w:trPr>
        <w:tc>
          <w:tcPr>
            <w:tcW w:w="3313" w:type="dxa"/>
            <w:hideMark/>
          </w:tcPr>
          <w:p w14:paraId="5047373B"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Training</w:t>
            </w:r>
          </w:p>
        </w:tc>
        <w:tc>
          <w:tcPr>
            <w:tcW w:w="414" w:type="dxa"/>
            <w:noWrap/>
            <w:hideMark/>
          </w:tcPr>
          <w:p w14:paraId="571EB8B6"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2</w:t>
            </w:r>
          </w:p>
        </w:tc>
        <w:tc>
          <w:tcPr>
            <w:tcW w:w="664" w:type="dxa"/>
            <w:noWrap/>
            <w:hideMark/>
          </w:tcPr>
          <w:p w14:paraId="50A0F5A2"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1.92</w:t>
            </w:r>
          </w:p>
        </w:tc>
        <w:tc>
          <w:tcPr>
            <w:tcW w:w="3542" w:type="dxa"/>
            <w:hideMark/>
          </w:tcPr>
          <w:p w14:paraId="49FC27AF"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training</w:t>
            </w:r>
          </w:p>
        </w:tc>
        <w:tc>
          <w:tcPr>
            <w:tcW w:w="426" w:type="dxa"/>
            <w:noWrap/>
            <w:hideMark/>
          </w:tcPr>
          <w:p w14:paraId="698B4AA0"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2</w:t>
            </w:r>
          </w:p>
        </w:tc>
        <w:tc>
          <w:tcPr>
            <w:tcW w:w="708" w:type="dxa"/>
            <w:noWrap/>
            <w:hideMark/>
          </w:tcPr>
          <w:p w14:paraId="1FBAC51A"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1.92</w:t>
            </w:r>
          </w:p>
        </w:tc>
      </w:tr>
      <w:tr w:rsidR="008C17AC" w:rsidRPr="008C17AC" w14:paraId="54784034" w14:textId="77777777" w:rsidTr="009E0421">
        <w:trPr>
          <w:trHeight w:val="227"/>
        </w:trPr>
        <w:tc>
          <w:tcPr>
            <w:tcW w:w="3313" w:type="dxa"/>
            <w:hideMark/>
          </w:tcPr>
          <w:p w14:paraId="319D54B9"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Other</w:t>
            </w:r>
          </w:p>
        </w:tc>
        <w:tc>
          <w:tcPr>
            <w:tcW w:w="414" w:type="dxa"/>
            <w:noWrap/>
            <w:hideMark/>
          </w:tcPr>
          <w:p w14:paraId="7BC80A61"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664" w:type="dxa"/>
            <w:noWrap/>
            <w:hideMark/>
          </w:tcPr>
          <w:p w14:paraId="44432EE3"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c>
          <w:tcPr>
            <w:tcW w:w="3542" w:type="dxa"/>
            <w:hideMark/>
          </w:tcPr>
          <w:p w14:paraId="606A99D9"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results-free review</w:t>
            </w:r>
          </w:p>
        </w:tc>
        <w:tc>
          <w:tcPr>
            <w:tcW w:w="426" w:type="dxa"/>
            <w:noWrap/>
            <w:hideMark/>
          </w:tcPr>
          <w:p w14:paraId="749CFC6F"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708" w:type="dxa"/>
            <w:noWrap/>
            <w:hideMark/>
          </w:tcPr>
          <w:p w14:paraId="458D3006"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r>
      <w:tr w:rsidR="004021AE" w:rsidRPr="008C17AC" w14:paraId="719DFA18" w14:textId="77777777" w:rsidTr="009E0421">
        <w:trPr>
          <w:trHeight w:val="227"/>
        </w:trPr>
        <w:tc>
          <w:tcPr>
            <w:tcW w:w="3313" w:type="dxa"/>
            <w:hideMark/>
          </w:tcPr>
          <w:p w14:paraId="2443E58E" w14:textId="77777777" w:rsidR="004021AE" w:rsidRPr="008C17AC" w:rsidRDefault="004021AE" w:rsidP="00ED47FA">
            <w:pPr>
              <w:spacing w:line="216" w:lineRule="auto"/>
              <w:rPr>
                <w:rFonts w:ascii="Times New Roman" w:hAnsi="Times New Roman" w:cs="Times New Roman"/>
                <w:b/>
                <w:bCs/>
                <w:sz w:val="20"/>
                <w:szCs w:val="20"/>
              </w:rPr>
            </w:pPr>
            <w:r w:rsidRPr="008C17AC">
              <w:rPr>
                <w:rFonts w:ascii="Times New Roman" w:hAnsi="Times New Roman" w:cs="Times New Roman"/>
                <w:b/>
                <w:bCs/>
                <w:sz w:val="20"/>
                <w:szCs w:val="20"/>
              </w:rPr>
              <w:t>Open science tools</w:t>
            </w:r>
          </w:p>
        </w:tc>
        <w:tc>
          <w:tcPr>
            <w:tcW w:w="5754" w:type="dxa"/>
            <w:gridSpan w:val="5"/>
            <w:noWrap/>
            <w:hideMark/>
          </w:tcPr>
          <w:p w14:paraId="5AB1C9F7" w14:textId="567938CD" w:rsidR="004021AE" w:rsidRPr="008C17AC" w:rsidRDefault="004021AE" w:rsidP="00F30987">
            <w:pPr>
              <w:spacing w:line="216" w:lineRule="auto"/>
              <w:jc w:val="center"/>
              <w:rPr>
                <w:rFonts w:ascii="Times New Roman" w:hAnsi="Times New Roman" w:cs="Times New Roman"/>
                <w:sz w:val="20"/>
                <w:szCs w:val="20"/>
              </w:rPr>
            </w:pPr>
          </w:p>
        </w:tc>
      </w:tr>
      <w:tr w:rsidR="008C17AC" w:rsidRPr="008C17AC" w14:paraId="2108EB3D" w14:textId="77777777" w:rsidTr="009E0421">
        <w:trPr>
          <w:trHeight w:val="227"/>
        </w:trPr>
        <w:tc>
          <w:tcPr>
            <w:tcW w:w="3313" w:type="dxa"/>
            <w:hideMark/>
          </w:tcPr>
          <w:p w14:paraId="5490641A"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Open workflow tools, workflow management systems</w:t>
            </w:r>
          </w:p>
        </w:tc>
        <w:tc>
          <w:tcPr>
            <w:tcW w:w="414" w:type="dxa"/>
            <w:noWrap/>
            <w:hideMark/>
          </w:tcPr>
          <w:p w14:paraId="425D1D2D"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664" w:type="dxa"/>
            <w:noWrap/>
            <w:hideMark/>
          </w:tcPr>
          <w:p w14:paraId="09351820"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c>
          <w:tcPr>
            <w:tcW w:w="3542" w:type="dxa"/>
            <w:hideMark/>
          </w:tcPr>
          <w:p w14:paraId="54EB2FC2"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tools</w:t>
            </w:r>
          </w:p>
        </w:tc>
        <w:tc>
          <w:tcPr>
            <w:tcW w:w="426" w:type="dxa"/>
            <w:noWrap/>
            <w:hideMark/>
          </w:tcPr>
          <w:p w14:paraId="5D93FECA"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708" w:type="dxa"/>
            <w:noWrap/>
            <w:hideMark/>
          </w:tcPr>
          <w:p w14:paraId="11A27902"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r>
      <w:tr w:rsidR="008C17AC" w:rsidRPr="008C17AC" w14:paraId="42327FE6" w14:textId="77777777" w:rsidTr="009E0421">
        <w:trPr>
          <w:trHeight w:val="227"/>
        </w:trPr>
        <w:tc>
          <w:tcPr>
            <w:tcW w:w="3313" w:type="dxa"/>
            <w:hideMark/>
          </w:tcPr>
          <w:p w14:paraId="6E354EC3"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Dockerization, docker</w:t>
            </w:r>
          </w:p>
        </w:tc>
        <w:tc>
          <w:tcPr>
            <w:tcW w:w="414" w:type="dxa"/>
            <w:noWrap/>
            <w:hideMark/>
          </w:tcPr>
          <w:p w14:paraId="0E1B733F"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664" w:type="dxa"/>
            <w:noWrap/>
            <w:hideMark/>
          </w:tcPr>
          <w:p w14:paraId="4E20FAA6"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c>
          <w:tcPr>
            <w:tcW w:w="3542" w:type="dxa"/>
            <w:hideMark/>
          </w:tcPr>
          <w:p w14:paraId="623C8613"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statistical tool</w:t>
            </w:r>
          </w:p>
        </w:tc>
        <w:tc>
          <w:tcPr>
            <w:tcW w:w="426" w:type="dxa"/>
            <w:noWrap/>
            <w:hideMark/>
          </w:tcPr>
          <w:p w14:paraId="46F06397"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708" w:type="dxa"/>
            <w:noWrap/>
            <w:hideMark/>
          </w:tcPr>
          <w:p w14:paraId="0F2965C9"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r>
      <w:tr w:rsidR="005D7301" w:rsidRPr="008C17AC" w14:paraId="6238BB83" w14:textId="77777777" w:rsidTr="009E0421">
        <w:trPr>
          <w:trHeight w:val="227"/>
        </w:trPr>
        <w:tc>
          <w:tcPr>
            <w:tcW w:w="3313" w:type="dxa"/>
            <w:vMerge w:val="restart"/>
            <w:hideMark/>
          </w:tcPr>
          <w:p w14:paraId="26617705"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Other</w:t>
            </w:r>
          </w:p>
        </w:tc>
        <w:tc>
          <w:tcPr>
            <w:tcW w:w="414" w:type="dxa"/>
            <w:vMerge w:val="restart"/>
            <w:noWrap/>
            <w:hideMark/>
          </w:tcPr>
          <w:p w14:paraId="041FB3D7"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5</w:t>
            </w:r>
          </w:p>
        </w:tc>
        <w:tc>
          <w:tcPr>
            <w:tcW w:w="664" w:type="dxa"/>
            <w:vMerge w:val="restart"/>
            <w:noWrap/>
            <w:hideMark/>
          </w:tcPr>
          <w:p w14:paraId="4F42FB59"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4.81</w:t>
            </w:r>
          </w:p>
        </w:tc>
        <w:tc>
          <w:tcPr>
            <w:tcW w:w="3542" w:type="dxa"/>
            <w:hideMark/>
          </w:tcPr>
          <w:p w14:paraId="57B160AB"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automatic code cleaning</w:t>
            </w:r>
          </w:p>
        </w:tc>
        <w:tc>
          <w:tcPr>
            <w:tcW w:w="426" w:type="dxa"/>
            <w:noWrap/>
            <w:hideMark/>
          </w:tcPr>
          <w:p w14:paraId="4AD66A12"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708" w:type="dxa"/>
            <w:noWrap/>
            <w:hideMark/>
          </w:tcPr>
          <w:p w14:paraId="1EB0083C"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r>
      <w:tr w:rsidR="005D7301" w:rsidRPr="008C17AC" w14:paraId="37DD0C02" w14:textId="77777777" w:rsidTr="009E0421">
        <w:trPr>
          <w:trHeight w:val="227"/>
        </w:trPr>
        <w:tc>
          <w:tcPr>
            <w:tcW w:w="3313" w:type="dxa"/>
            <w:vMerge/>
            <w:hideMark/>
          </w:tcPr>
          <w:p w14:paraId="357E8900" w14:textId="77777777" w:rsidR="00ED47FA" w:rsidRPr="008C17AC" w:rsidRDefault="00ED47FA" w:rsidP="00ED47FA">
            <w:pPr>
              <w:spacing w:line="216" w:lineRule="auto"/>
              <w:rPr>
                <w:rFonts w:ascii="Times New Roman" w:hAnsi="Times New Roman" w:cs="Times New Roman"/>
                <w:sz w:val="20"/>
                <w:szCs w:val="20"/>
              </w:rPr>
            </w:pPr>
          </w:p>
        </w:tc>
        <w:tc>
          <w:tcPr>
            <w:tcW w:w="414" w:type="dxa"/>
            <w:vMerge/>
            <w:hideMark/>
          </w:tcPr>
          <w:p w14:paraId="525A9ADE" w14:textId="77777777" w:rsidR="00ED47FA" w:rsidRPr="008C17AC" w:rsidRDefault="00ED47FA" w:rsidP="00F30987">
            <w:pPr>
              <w:spacing w:line="216" w:lineRule="auto"/>
              <w:jc w:val="center"/>
              <w:rPr>
                <w:rFonts w:ascii="Times New Roman" w:hAnsi="Times New Roman" w:cs="Times New Roman"/>
                <w:sz w:val="20"/>
                <w:szCs w:val="20"/>
              </w:rPr>
            </w:pPr>
          </w:p>
        </w:tc>
        <w:tc>
          <w:tcPr>
            <w:tcW w:w="664" w:type="dxa"/>
            <w:vMerge/>
            <w:hideMark/>
          </w:tcPr>
          <w:p w14:paraId="78F416A1" w14:textId="77777777" w:rsidR="00ED47FA" w:rsidRPr="008C17AC" w:rsidRDefault="00ED47FA" w:rsidP="00F30987">
            <w:pPr>
              <w:spacing w:line="216" w:lineRule="auto"/>
              <w:jc w:val="center"/>
              <w:rPr>
                <w:rFonts w:ascii="Times New Roman" w:hAnsi="Times New Roman" w:cs="Times New Roman"/>
                <w:sz w:val="20"/>
                <w:szCs w:val="20"/>
              </w:rPr>
            </w:pPr>
          </w:p>
        </w:tc>
        <w:tc>
          <w:tcPr>
            <w:tcW w:w="3542" w:type="dxa"/>
            <w:hideMark/>
          </w:tcPr>
          <w:p w14:paraId="4715127A"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standardization of processes</w:t>
            </w:r>
          </w:p>
        </w:tc>
        <w:tc>
          <w:tcPr>
            <w:tcW w:w="426" w:type="dxa"/>
            <w:noWrap/>
            <w:hideMark/>
          </w:tcPr>
          <w:p w14:paraId="0E72B30E"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708" w:type="dxa"/>
            <w:noWrap/>
            <w:hideMark/>
          </w:tcPr>
          <w:p w14:paraId="614BE6AB"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r>
      <w:tr w:rsidR="008C17AC" w:rsidRPr="008C17AC" w14:paraId="5AD5386F" w14:textId="77777777" w:rsidTr="009E0421">
        <w:trPr>
          <w:trHeight w:val="227"/>
        </w:trPr>
        <w:tc>
          <w:tcPr>
            <w:tcW w:w="3313" w:type="dxa"/>
            <w:vMerge/>
            <w:hideMark/>
          </w:tcPr>
          <w:p w14:paraId="3622730E" w14:textId="77777777" w:rsidR="00ED47FA" w:rsidRPr="008C17AC" w:rsidRDefault="00ED47FA" w:rsidP="00ED47FA">
            <w:pPr>
              <w:spacing w:line="216" w:lineRule="auto"/>
              <w:rPr>
                <w:rFonts w:ascii="Times New Roman" w:hAnsi="Times New Roman" w:cs="Times New Roman"/>
                <w:sz w:val="20"/>
                <w:szCs w:val="20"/>
              </w:rPr>
            </w:pPr>
          </w:p>
        </w:tc>
        <w:tc>
          <w:tcPr>
            <w:tcW w:w="414" w:type="dxa"/>
            <w:vMerge/>
            <w:hideMark/>
          </w:tcPr>
          <w:p w14:paraId="62A4C11E" w14:textId="77777777" w:rsidR="00ED47FA" w:rsidRPr="008C17AC" w:rsidRDefault="00ED47FA" w:rsidP="00F30987">
            <w:pPr>
              <w:spacing w:line="216" w:lineRule="auto"/>
              <w:jc w:val="center"/>
              <w:rPr>
                <w:rFonts w:ascii="Times New Roman" w:hAnsi="Times New Roman" w:cs="Times New Roman"/>
                <w:sz w:val="20"/>
                <w:szCs w:val="20"/>
              </w:rPr>
            </w:pPr>
          </w:p>
        </w:tc>
        <w:tc>
          <w:tcPr>
            <w:tcW w:w="664" w:type="dxa"/>
            <w:vMerge/>
            <w:hideMark/>
          </w:tcPr>
          <w:p w14:paraId="65917E5A" w14:textId="77777777" w:rsidR="00ED47FA" w:rsidRPr="008C17AC" w:rsidRDefault="00ED47FA" w:rsidP="00F30987">
            <w:pPr>
              <w:spacing w:line="216" w:lineRule="auto"/>
              <w:jc w:val="center"/>
              <w:rPr>
                <w:rFonts w:ascii="Times New Roman" w:hAnsi="Times New Roman" w:cs="Times New Roman"/>
                <w:sz w:val="20"/>
                <w:szCs w:val="20"/>
              </w:rPr>
            </w:pPr>
          </w:p>
        </w:tc>
        <w:tc>
          <w:tcPr>
            <w:tcW w:w="3542" w:type="dxa"/>
            <w:hideMark/>
          </w:tcPr>
          <w:p w14:paraId="19A93676"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writing tool</w:t>
            </w:r>
          </w:p>
        </w:tc>
        <w:tc>
          <w:tcPr>
            <w:tcW w:w="426" w:type="dxa"/>
            <w:noWrap/>
            <w:hideMark/>
          </w:tcPr>
          <w:p w14:paraId="0B9B18B3"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3</w:t>
            </w:r>
          </w:p>
        </w:tc>
        <w:tc>
          <w:tcPr>
            <w:tcW w:w="708" w:type="dxa"/>
            <w:noWrap/>
            <w:hideMark/>
          </w:tcPr>
          <w:p w14:paraId="580F379C"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2.88</w:t>
            </w:r>
          </w:p>
        </w:tc>
      </w:tr>
      <w:tr w:rsidR="004021AE" w:rsidRPr="008C17AC" w14:paraId="216129F0" w14:textId="77777777" w:rsidTr="009E0421">
        <w:trPr>
          <w:trHeight w:val="227"/>
        </w:trPr>
        <w:tc>
          <w:tcPr>
            <w:tcW w:w="3313" w:type="dxa"/>
            <w:hideMark/>
          </w:tcPr>
          <w:p w14:paraId="40E2CF38" w14:textId="77777777" w:rsidR="004021AE" w:rsidRPr="008C17AC" w:rsidRDefault="004021AE" w:rsidP="00ED47FA">
            <w:pPr>
              <w:spacing w:line="216" w:lineRule="auto"/>
              <w:rPr>
                <w:rFonts w:ascii="Times New Roman" w:hAnsi="Times New Roman" w:cs="Times New Roman"/>
                <w:b/>
                <w:bCs/>
                <w:sz w:val="20"/>
                <w:szCs w:val="20"/>
              </w:rPr>
            </w:pPr>
            <w:r w:rsidRPr="008C17AC">
              <w:rPr>
                <w:rFonts w:ascii="Times New Roman" w:hAnsi="Times New Roman" w:cs="Times New Roman"/>
                <w:b/>
                <w:bCs/>
                <w:sz w:val="20"/>
                <w:szCs w:val="20"/>
              </w:rPr>
              <w:t>Other interventions</w:t>
            </w:r>
          </w:p>
        </w:tc>
        <w:tc>
          <w:tcPr>
            <w:tcW w:w="5754" w:type="dxa"/>
            <w:gridSpan w:val="5"/>
            <w:noWrap/>
            <w:hideMark/>
          </w:tcPr>
          <w:p w14:paraId="375DB7CE" w14:textId="0384ECDD" w:rsidR="004021AE" w:rsidRPr="008C17AC" w:rsidRDefault="004021AE" w:rsidP="00F30987">
            <w:pPr>
              <w:spacing w:line="216" w:lineRule="auto"/>
              <w:jc w:val="center"/>
              <w:rPr>
                <w:rFonts w:ascii="Times New Roman" w:hAnsi="Times New Roman" w:cs="Times New Roman"/>
                <w:sz w:val="20"/>
                <w:szCs w:val="20"/>
              </w:rPr>
            </w:pPr>
          </w:p>
        </w:tc>
      </w:tr>
      <w:tr w:rsidR="005D7301" w:rsidRPr="008C17AC" w14:paraId="71AC677B" w14:textId="77777777" w:rsidTr="009E0421">
        <w:trPr>
          <w:trHeight w:val="227"/>
        </w:trPr>
        <w:tc>
          <w:tcPr>
            <w:tcW w:w="3313" w:type="dxa"/>
            <w:vMerge w:val="restart"/>
            <w:hideMark/>
          </w:tcPr>
          <w:p w14:paraId="27929655"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Type1/Type 2 error reduction</w:t>
            </w:r>
          </w:p>
        </w:tc>
        <w:tc>
          <w:tcPr>
            <w:tcW w:w="414" w:type="dxa"/>
            <w:vMerge w:val="restart"/>
            <w:noWrap/>
            <w:hideMark/>
          </w:tcPr>
          <w:p w14:paraId="3D9E12EC"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3</w:t>
            </w:r>
          </w:p>
        </w:tc>
        <w:tc>
          <w:tcPr>
            <w:tcW w:w="664" w:type="dxa"/>
            <w:vMerge w:val="restart"/>
            <w:noWrap/>
            <w:hideMark/>
          </w:tcPr>
          <w:p w14:paraId="7448AB9E"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2.88</w:t>
            </w:r>
          </w:p>
        </w:tc>
        <w:tc>
          <w:tcPr>
            <w:tcW w:w="3542" w:type="dxa"/>
            <w:hideMark/>
          </w:tcPr>
          <w:p w14:paraId="22ECBBF8"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effect-size filter</w:t>
            </w:r>
          </w:p>
        </w:tc>
        <w:tc>
          <w:tcPr>
            <w:tcW w:w="426" w:type="dxa"/>
            <w:noWrap/>
            <w:hideMark/>
          </w:tcPr>
          <w:p w14:paraId="6EF3DE66"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708" w:type="dxa"/>
            <w:noWrap/>
            <w:hideMark/>
          </w:tcPr>
          <w:p w14:paraId="1CA7EFEF"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r>
      <w:tr w:rsidR="008C17AC" w:rsidRPr="008C17AC" w14:paraId="6363E803" w14:textId="77777777" w:rsidTr="009E0421">
        <w:trPr>
          <w:trHeight w:val="227"/>
        </w:trPr>
        <w:tc>
          <w:tcPr>
            <w:tcW w:w="3313" w:type="dxa"/>
            <w:vMerge/>
            <w:hideMark/>
          </w:tcPr>
          <w:p w14:paraId="7E0ADAB5" w14:textId="77777777" w:rsidR="00ED47FA" w:rsidRPr="008C17AC" w:rsidRDefault="00ED47FA" w:rsidP="00ED47FA">
            <w:pPr>
              <w:spacing w:line="216" w:lineRule="auto"/>
              <w:rPr>
                <w:rFonts w:ascii="Times New Roman" w:hAnsi="Times New Roman" w:cs="Times New Roman"/>
                <w:sz w:val="20"/>
                <w:szCs w:val="20"/>
              </w:rPr>
            </w:pPr>
          </w:p>
        </w:tc>
        <w:tc>
          <w:tcPr>
            <w:tcW w:w="414" w:type="dxa"/>
            <w:vMerge/>
            <w:hideMark/>
          </w:tcPr>
          <w:p w14:paraId="017549DE" w14:textId="77777777" w:rsidR="00ED47FA" w:rsidRPr="008C17AC" w:rsidRDefault="00ED47FA" w:rsidP="00F30987">
            <w:pPr>
              <w:spacing w:line="216" w:lineRule="auto"/>
              <w:jc w:val="center"/>
              <w:rPr>
                <w:rFonts w:ascii="Times New Roman" w:hAnsi="Times New Roman" w:cs="Times New Roman"/>
                <w:sz w:val="20"/>
                <w:szCs w:val="20"/>
              </w:rPr>
            </w:pPr>
          </w:p>
        </w:tc>
        <w:tc>
          <w:tcPr>
            <w:tcW w:w="664" w:type="dxa"/>
            <w:vMerge/>
            <w:hideMark/>
          </w:tcPr>
          <w:p w14:paraId="0B9F83B9" w14:textId="77777777" w:rsidR="00ED47FA" w:rsidRPr="008C17AC" w:rsidRDefault="00ED47FA" w:rsidP="00F30987">
            <w:pPr>
              <w:spacing w:line="216" w:lineRule="auto"/>
              <w:jc w:val="center"/>
              <w:rPr>
                <w:rFonts w:ascii="Times New Roman" w:hAnsi="Times New Roman" w:cs="Times New Roman"/>
                <w:sz w:val="20"/>
                <w:szCs w:val="20"/>
              </w:rPr>
            </w:pPr>
          </w:p>
        </w:tc>
        <w:tc>
          <w:tcPr>
            <w:tcW w:w="3542" w:type="dxa"/>
            <w:hideMark/>
          </w:tcPr>
          <w:p w14:paraId="018CFAEC"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p-value calibration</w:t>
            </w:r>
          </w:p>
        </w:tc>
        <w:tc>
          <w:tcPr>
            <w:tcW w:w="426" w:type="dxa"/>
            <w:noWrap/>
            <w:hideMark/>
          </w:tcPr>
          <w:p w14:paraId="1882DCE2"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2</w:t>
            </w:r>
          </w:p>
        </w:tc>
        <w:tc>
          <w:tcPr>
            <w:tcW w:w="708" w:type="dxa"/>
            <w:noWrap/>
            <w:hideMark/>
          </w:tcPr>
          <w:p w14:paraId="6F607B37"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1.92</w:t>
            </w:r>
          </w:p>
        </w:tc>
      </w:tr>
      <w:tr w:rsidR="008C17AC" w:rsidRPr="008C17AC" w14:paraId="34368040" w14:textId="77777777" w:rsidTr="009E0421">
        <w:trPr>
          <w:trHeight w:val="227"/>
        </w:trPr>
        <w:tc>
          <w:tcPr>
            <w:tcW w:w="3313" w:type="dxa"/>
            <w:hideMark/>
          </w:tcPr>
          <w:p w14:paraId="0AC89ED3"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Collaborative research</w:t>
            </w:r>
          </w:p>
        </w:tc>
        <w:tc>
          <w:tcPr>
            <w:tcW w:w="414" w:type="dxa"/>
            <w:noWrap/>
            <w:hideMark/>
          </w:tcPr>
          <w:p w14:paraId="4D81AF10"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664" w:type="dxa"/>
            <w:noWrap/>
            <w:hideMark/>
          </w:tcPr>
          <w:p w14:paraId="0325CB50"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c>
          <w:tcPr>
            <w:tcW w:w="3542" w:type="dxa"/>
            <w:hideMark/>
          </w:tcPr>
          <w:p w14:paraId="5BF56F03"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building a (training) community</w:t>
            </w:r>
          </w:p>
        </w:tc>
        <w:tc>
          <w:tcPr>
            <w:tcW w:w="426" w:type="dxa"/>
            <w:noWrap/>
            <w:hideMark/>
          </w:tcPr>
          <w:p w14:paraId="71B0B3B6"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708" w:type="dxa"/>
            <w:noWrap/>
            <w:hideMark/>
          </w:tcPr>
          <w:p w14:paraId="22EB33FF"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r>
      <w:tr w:rsidR="008C17AC" w:rsidRPr="008C17AC" w14:paraId="63C67AA8" w14:textId="77777777" w:rsidTr="009E0421">
        <w:trPr>
          <w:trHeight w:val="227"/>
        </w:trPr>
        <w:tc>
          <w:tcPr>
            <w:tcW w:w="3313" w:type="dxa"/>
            <w:vMerge w:val="restart"/>
            <w:hideMark/>
          </w:tcPr>
          <w:p w14:paraId="29E2DD16"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Other</w:t>
            </w:r>
          </w:p>
        </w:tc>
        <w:tc>
          <w:tcPr>
            <w:tcW w:w="414" w:type="dxa"/>
            <w:vMerge w:val="restart"/>
            <w:noWrap/>
            <w:hideMark/>
          </w:tcPr>
          <w:p w14:paraId="7F48538E"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5</w:t>
            </w:r>
          </w:p>
        </w:tc>
        <w:tc>
          <w:tcPr>
            <w:tcW w:w="664" w:type="dxa"/>
            <w:vMerge w:val="restart"/>
            <w:noWrap/>
            <w:hideMark/>
          </w:tcPr>
          <w:p w14:paraId="14BA6221"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4.81</w:t>
            </w:r>
          </w:p>
        </w:tc>
        <w:tc>
          <w:tcPr>
            <w:tcW w:w="3542" w:type="dxa"/>
            <w:hideMark/>
          </w:tcPr>
          <w:p w14:paraId="4D53430F"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editorial checks/peer review</w:t>
            </w:r>
          </w:p>
        </w:tc>
        <w:tc>
          <w:tcPr>
            <w:tcW w:w="426" w:type="dxa"/>
            <w:noWrap/>
            <w:hideMark/>
          </w:tcPr>
          <w:p w14:paraId="0E4083B3"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3</w:t>
            </w:r>
          </w:p>
        </w:tc>
        <w:tc>
          <w:tcPr>
            <w:tcW w:w="708" w:type="dxa"/>
            <w:noWrap/>
            <w:hideMark/>
          </w:tcPr>
          <w:p w14:paraId="5C09170F"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2.88</w:t>
            </w:r>
          </w:p>
        </w:tc>
      </w:tr>
      <w:tr w:rsidR="008C17AC" w:rsidRPr="008C17AC" w14:paraId="70BFF45F" w14:textId="77777777" w:rsidTr="009E0421">
        <w:trPr>
          <w:trHeight w:val="227"/>
        </w:trPr>
        <w:tc>
          <w:tcPr>
            <w:tcW w:w="3313" w:type="dxa"/>
            <w:vMerge/>
            <w:hideMark/>
          </w:tcPr>
          <w:p w14:paraId="505C6190" w14:textId="77777777" w:rsidR="00ED47FA" w:rsidRPr="008C17AC" w:rsidRDefault="00ED47FA" w:rsidP="00ED47FA">
            <w:pPr>
              <w:spacing w:line="216" w:lineRule="auto"/>
              <w:rPr>
                <w:rFonts w:ascii="Times New Roman" w:hAnsi="Times New Roman" w:cs="Times New Roman"/>
                <w:sz w:val="20"/>
                <w:szCs w:val="20"/>
              </w:rPr>
            </w:pPr>
          </w:p>
        </w:tc>
        <w:tc>
          <w:tcPr>
            <w:tcW w:w="414" w:type="dxa"/>
            <w:vMerge/>
            <w:hideMark/>
          </w:tcPr>
          <w:p w14:paraId="0317A5B0" w14:textId="77777777" w:rsidR="00ED47FA" w:rsidRPr="008C17AC" w:rsidRDefault="00ED47FA" w:rsidP="00ED47FA">
            <w:pPr>
              <w:spacing w:line="216" w:lineRule="auto"/>
              <w:jc w:val="center"/>
              <w:rPr>
                <w:rFonts w:ascii="Times New Roman" w:hAnsi="Times New Roman" w:cs="Times New Roman"/>
                <w:sz w:val="20"/>
                <w:szCs w:val="20"/>
              </w:rPr>
            </w:pPr>
          </w:p>
        </w:tc>
        <w:tc>
          <w:tcPr>
            <w:tcW w:w="664" w:type="dxa"/>
            <w:vMerge/>
            <w:hideMark/>
          </w:tcPr>
          <w:p w14:paraId="3D3BF248" w14:textId="77777777" w:rsidR="00ED47FA" w:rsidRPr="008C17AC" w:rsidRDefault="00ED47FA" w:rsidP="00ED47FA">
            <w:pPr>
              <w:spacing w:line="216" w:lineRule="auto"/>
              <w:jc w:val="center"/>
              <w:rPr>
                <w:rFonts w:ascii="Times New Roman" w:hAnsi="Times New Roman" w:cs="Times New Roman"/>
                <w:sz w:val="20"/>
                <w:szCs w:val="20"/>
              </w:rPr>
            </w:pPr>
          </w:p>
        </w:tc>
        <w:tc>
          <w:tcPr>
            <w:tcW w:w="3542" w:type="dxa"/>
            <w:hideMark/>
          </w:tcPr>
          <w:p w14:paraId="3FCA877B"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role models</w:t>
            </w:r>
          </w:p>
        </w:tc>
        <w:tc>
          <w:tcPr>
            <w:tcW w:w="426" w:type="dxa"/>
            <w:noWrap/>
            <w:hideMark/>
          </w:tcPr>
          <w:p w14:paraId="57BC4390"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708" w:type="dxa"/>
            <w:noWrap/>
            <w:hideMark/>
          </w:tcPr>
          <w:p w14:paraId="6C78C8E5"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r>
      <w:tr w:rsidR="008C17AC" w:rsidRPr="008C17AC" w14:paraId="48BB1896" w14:textId="77777777" w:rsidTr="009E0421">
        <w:trPr>
          <w:trHeight w:val="227"/>
        </w:trPr>
        <w:tc>
          <w:tcPr>
            <w:tcW w:w="3313" w:type="dxa"/>
            <w:vMerge/>
            <w:hideMark/>
          </w:tcPr>
          <w:p w14:paraId="0F0ED208" w14:textId="77777777" w:rsidR="00ED47FA" w:rsidRPr="008C17AC" w:rsidRDefault="00ED47FA" w:rsidP="00ED47FA">
            <w:pPr>
              <w:spacing w:line="216" w:lineRule="auto"/>
              <w:rPr>
                <w:rFonts w:ascii="Times New Roman" w:hAnsi="Times New Roman" w:cs="Times New Roman"/>
                <w:sz w:val="20"/>
                <w:szCs w:val="20"/>
              </w:rPr>
            </w:pPr>
          </w:p>
        </w:tc>
        <w:tc>
          <w:tcPr>
            <w:tcW w:w="414" w:type="dxa"/>
            <w:vMerge/>
            <w:hideMark/>
          </w:tcPr>
          <w:p w14:paraId="469C3793" w14:textId="77777777" w:rsidR="00ED47FA" w:rsidRPr="008C17AC" w:rsidRDefault="00ED47FA" w:rsidP="00ED47FA">
            <w:pPr>
              <w:spacing w:line="216" w:lineRule="auto"/>
              <w:jc w:val="center"/>
              <w:rPr>
                <w:rFonts w:ascii="Times New Roman" w:hAnsi="Times New Roman" w:cs="Times New Roman"/>
                <w:sz w:val="20"/>
                <w:szCs w:val="20"/>
              </w:rPr>
            </w:pPr>
          </w:p>
        </w:tc>
        <w:tc>
          <w:tcPr>
            <w:tcW w:w="664" w:type="dxa"/>
            <w:vMerge/>
            <w:hideMark/>
          </w:tcPr>
          <w:p w14:paraId="720CE4DB" w14:textId="77777777" w:rsidR="00ED47FA" w:rsidRPr="008C17AC" w:rsidRDefault="00ED47FA" w:rsidP="00ED47FA">
            <w:pPr>
              <w:spacing w:line="216" w:lineRule="auto"/>
              <w:jc w:val="center"/>
              <w:rPr>
                <w:rFonts w:ascii="Times New Roman" w:hAnsi="Times New Roman" w:cs="Times New Roman"/>
                <w:sz w:val="20"/>
                <w:szCs w:val="20"/>
              </w:rPr>
            </w:pPr>
          </w:p>
        </w:tc>
        <w:tc>
          <w:tcPr>
            <w:tcW w:w="3542" w:type="dxa"/>
            <w:hideMark/>
          </w:tcPr>
          <w:p w14:paraId="73B49952" w14:textId="77777777" w:rsidR="00ED47FA" w:rsidRPr="008C17AC" w:rsidRDefault="00ED47FA" w:rsidP="00ED47FA">
            <w:pPr>
              <w:spacing w:line="216" w:lineRule="auto"/>
              <w:rPr>
                <w:rFonts w:ascii="Times New Roman" w:hAnsi="Times New Roman" w:cs="Times New Roman"/>
                <w:sz w:val="20"/>
                <w:szCs w:val="20"/>
              </w:rPr>
            </w:pPr>
            <w:r w:rsidRPr="008C17AC">
              <w:rPr>
                <w:rFonts w:ascii="Times New Roman" w:hAnsi="Times New Roman" w:cs="Times New Roman"/>
                <w:sz w:val="20"/>
                <w:szCs w:val="20"/>
              </w:rPr>
              <w:t>statistical approach</w:t>
            </w:r>
          </w:p>
        </w:tc>
        <w:tc>
          <w:tcPr>
            <w:tcW w:w="426" w:type="dxa"/>
            <w:noWrap/>
            <w:hideMark/>
          </w:tcPr>
          <w:p w14:paraId="726AD10D"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1</w:t>
            </w:r>
          </w:p>
        </w:tc>
        <w:tc>
          <w:tcPr>
            <w:tcW w:w="708" w:type="dxa"/>
            <w:noWrap/>
            <w:hideMark/>
          </w:tcPr>
          <w:p w14:paraId="06E2E014" w14:textId="77777777" w:rsidR="00ED47FA" w:rsidRPr="008C17AC" w:rsidRDefault="00ED47FA" w:rsidP="00F30987">
            <w:pPr>
              <w:spacing w:line="216" w:lineRule="auto"/>
              <w:jc w:val="center"/>
              <w:rPr>
                <w:rFonts w:ascii="Times New Roman" w:hAnsi="Times New Roman" w:cs="Times New Roman"/>
                <w:sz w:val="20"/>
                <w:szCs w:val="20"/>
              </w:rPr>
            </w:pPr>
            <w:r w:rsidRPr="008C17AC">
              <w:rPr>
                <w:rFonts w:ascii="Times New Roman" w:hAnsi="Times New Roman" w:cs="Times New Roman"/>
                <w:sz w:val="20"/>
                <w:szCs w:val="20"/>
              </w:rPr>
              <w:t>0.96</w:t>
            </w:r>
          </w:p>
        </w:tc>
      </w:tr>
    </w:tbl>
    <w:p w14:paraId="02B25C5B" w14:textId="77777777" w:rsidR="009E0421" w:rsidRPr="008C17AC" w:rsidRDefault="009E0421">
      <w:pPr>
        <w:rPr>
          <w:rFonts w:ascii="Times New Roman" w:hAnsi="Times New Roman" w:cs="Times New Roman"/>
        </w:rPr>
      </w:pPr>
    </w:p>
    <w:p w14:paraId="72E0AEDD" w14:textId="087E4A8A" w:rsidR="30A4E104" w:rsidRPr="008C17AC" w:rsidRDefault="7988F028" w:rsidP="23EF21E2">
      <w:pPr>
        <w:spacing w:after="120" w:line="360" w:lineRule="auto"/>
        <w:ind w:left="-20" w:right="-20"/>
        <w:rPr>
          <w:rFonts w:ascii="Times New Roman" w:eastAsia="Times New Roman" w:hAnsi="Times New Roman" w:cs="Times New Roman"/>
          <w:b/>
          <w:bCs/>
          <w:iCs/>
        </w:rPr>
      </w:pPr>
      <w:r w:rsidRPr="008C17AC">
        <w:rPr>
          <w:rFonts w:ascii="Times New Roman" w:eastAsia="Times New Roman" w:hAnsi="Times New Roman" w:cs="Times New Roman"/>
          <w:b/>
          <w:bCs/>
          <w:iCs/>
        </w:rPr>
        <w:t>Outcomes</w:t>
      </w:r>
    </w:p>
    <w:p w14:paraId="37578352" w14:textId="1B611366" w:rsidR="30A4E104" w:rsidRPr="008C17AC" w:rsidRDefault="51F7B61C" w:rsidP="1A6C9FDE">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rPr>
        <w:t xml:space="preserve">Fifteen studies investigated the effect of an intervention of reproducibility or replicability as direct outcomes. One study investigated the effect of data sharing </w:t>
      </w:r>
      <w:r w:rsidR="33DE18E6" w:rsidRPr="008C17AC">
        <w:rPr>
          <w:rFonts w:ascii="Times New Roman" w:eastAsia="Times New Roman" w:hAnsi="Times New Roman" w:cs="Times New Roman"/>
        </w:rPr>
        <w:t xml:space="preserve">policy </w:t>
      </w:r>
      <w:r w:rsidRPr="008C17AC">
        <w:rPr>
          <w:rFonts w:ascii="Times New Roman" w:eastAsia="Times New Roman" w:hAnsi="Times New Roman" w:cs="Times New Roman"/>
        </w:rPr>
        <w:t xml:space="preserve">on inferential reproducibility </w:t>
      </w:r>
      <w:r w:rsidR="43D73665" w:rsidRPr="008C17AC">
        <w:rPr>
          <w:rFonts w:ascii="Times New Roman" w:eastAsia="Times New Roman" w:hAnsi="Times New Roman" w:cs="Times New Roman"/>
        </w:rPr>
        <w:fldChar w:fldCharType="begin"/>
      </w:r>
      <w:r w:rsidR="43D73665" w:rsidRPr="008C17AC">
        <w:rPr>
          <w:rFonts w:ascii="Times New Roman" w:eastAsia="Times New Roman" w:hAnsi="Times New Roman" w:cs="Times New Roman"/>
        </w:rPr>
        <w:instrText xml:space="preserve"> ADDIN ZOTERO_ITEM CSL_CITATION {"citationID":"zhNYDcdi","properties":{"formattedCitation":"[56]","plainCitation":"[56]","noteIndex":0},"citationItems":[{"id":29684,"uris":["http://zotero.org/groups/4983756/items/LP5Y58W5"],"itemData":{"id":29684,"type":"article-journal","abstract":"Importance: Clinical trial data sharing holds promise for maximizing the value of clinical research. The International Committee of Medical Journal Editors (ICMJE) adopted a policy promoting data sharing in July 2018. Objective: To evaluate the association of the ICMJE data sharing policy with data availability and reproducibility of main conclusions among leading surgical journals. Design, Setting, and Participants: This cross-sectional study, conducted in October 2021, examined randomized clinical trials (RCTs) in 10 leading surgical journals before and after the implementation of the ICMJE data sharing policy in July 2018. Exposure: Implementation of the ICMJE data sharing policy. Main Outcomes and Measures: To demonstrate a pre-post increase in data availability from 5% to 25% (alpha = .05; beta = 0.1), 65 RCTs published before and 65 RCTs published after the policy was issued were included, and their data were requested. The primary outcome was data availability (ie, the receipt of sufficient data to enable reanalysis of the primary outcome). When data sharing was available, the primary outcomes reported in the journal articles were reanalyzed to explore reproducibility. The reproducibility features of these studies were detailed. Results: Data were available for 2 of 65 RCTs (3.1%) published before the ICMJE policy and for 2 of 65 RCTs (3.1%) published after the policy was issued (odds ratio, 1.00; 95% CI, 0.07-14.19; P &gt; .99). A data sharing statement was observed in 11 of 65 RCTs (16.9%) published after the policy vs none before the policy (risk ratio, 2.20; 95% CI, 1.81-2.68; P = .001). Data obtained for reanalysis (n = 4) were not from RCTs published with a data sharing statement. Of the 4 RCTs with available data, all of them had primary outcomes that were fully reproduced. However, discrepancies or inaccuracies that were not associated with study conclusions were identified in 3 RCTs. These concerned the number of patients included in 1 RCT, the management of missing values in another RCT, and discrepant timing for the principal outcome declared in the study registration and reported in the third RCT. Conclusions and Relevance: This cross-sectional study suggests that data sharing practices are rare in surgical journals despite the ICMJE policy and that most RCTs published in these journals lack transparency. The results of these studies may not be reproducible by external researchers.","container-title":"JAMA Network Open","DOI":"10.1001/jamanetworkopen.2022.15209","ISSN":"2574-3805","issue":"6","page":"e2215209","title":"Data Sharing and Reanalyses Among Randomized Clinical Trials Published in Surgical Journals Before and After Adoption of a Data Availability and Reproducibility Policy","volume":"5","author":[{"literal":"Bergeat D"},{"literal":"Lombard N"},{"literal":"Gasmi A"},{"literal":"Le Floch B"},{"literal":"Naudet F"}],"issued":{"date-parts":[["2022"]]}}}],"schema":"https://github.com/citation-style-language/schema/raw/master/csl-citation.json"} </w:instrText>
      </w:r>
      <w:r w:rsidR="43D73665" w:rsidRPr="008C17AC">
        <w:rPr>
          <w:rFonts w:ascii="Times New Roman" w:eastAsia="Times New Roman" w:hAnsi="Times New Roman" w:cs="Times New Roman"/>
        </w:rPr>
        <w:fldChar w:fldCharType="separate"/>
      </w:r>
      <w:r w:rsidR="3C7A65C1" w:rsidRPr="008C17AC">
        <w:rPr>
          <w:rFonts w:ascii="Times New Roman" w:hAnsi="Times New Roman" w:cs="Times New Roman"/>
        </w:rPr>
        <w:t>[56]</w:t>
      </w:r>
      <w:r w:rsidR="43D73665" w:rsidRPr="008C17AC">
        <w:rPr>
          <w:rFonts w:ascii="Times New Roman" w:eastAsia="Times New Roman" w:hAnsi="Times New Roman" w:cs="Times New Roman"/>
        </w:rPr>
        <w:fldChar w:fldCharType="end"/>
      </w:r>
      <w:r w:rsidRPr="008C17AC">
        <w:rPr>
          <w:rFonts w:ascii="Times New Roman" w:eastAsia="Times New Roman" w:hAnsi="Times New Roman" w:cs="Times New Roman"/>
        </w:rPr>
        <w:t xml:space="preserve">. </w:t>
      </w:r>
      <w:r w:rsidRPr="008C17AC">
        <w:rPr>
          <w:rFonts w:ascii="Times New Roman" w:eastAsia="Times New Roman" w:hAnsi="Times New Roman" w:cs="Times New Roman"/>
        </w:rPr>
        <w:lastRenderedPageBreak/>
        <w:t>Eight studies investigated whether interventions improved the reproducibility of scientific results</w:t>
      </w:r>
      <w:r w:rsidR="3F932B93" w:rsidRPr="008C17AC">
        <w:rPr>
          <w:rFonts w:ascii="Times New Roman" w:eastAsia="Times New Roman" w:hAnsi="Times New Roman" w:cs="Times New Roman"/>
        </w:rPr>
        <w:t xml:space="preserve">: one study investigated the effect of a statistical tool on whether codes could be reproduced </w:t>
      </w:r>
      <w:r w:rsidR="43D73665" w:rsidRPr="008C17AC">
        <w:rPr>
          <w:rFonts w:ascii="Times New Roman" w:eastAsia="Times New Roman" w:hAnsi="Times New Roman" w:cs="Times New Roman"/>
        </w:rPr>
        <w:fldChar w:fldCharType="begin"/>
      </w:r>
      <w:r w:rsidR="43D73665" w:rsidRPr="008C17AC">
        <w:rPr>
          <w:rFonts w:ascii="Times New Roman" w:eastAsia="Times New Roman" w:hAnsi="Times New Roman" w:cs="Times New Roman"/>
        </w:rPr>
        <w:instrText xml:space="preserve"> ADDIN ZOTERO_ITEM CSL_CITATION {"citationID":"7j98EgbO","properties":{"formattedCitation":"[61]","plainCitation":"[61]","noteIndex":0},"citationItems":[{"id":29763,"uris":["http://zotero.org/groups/4983756/items/WA29YIG7"],"itemData":{"id":29763,"type":"article-journal","abstract":"A complete declarative description of the computational environment is usually missing when researchers share their materials. Without such description, software obsolescence and missing system components can jeopardize computational reproducibility in the future, even when data and computer code are available. The R package rang is a complete solution for generating the declarative description for other researchers to automatically reconstruct the computational environment at a specific time point. The reconstruction process, based on Docker, has been tested for R code as old as 2001. The declarative description generated by rang satisfies the definition of a reproducible research compendium and can be shared as such. In this contribution, we show how rang can be used to make otherwise unexecutable code, spanning fields such as computational social science and bioinformatics, executable again. We also provide instructions on how to use rang to construct reproducible and shareable research compendia of current research. The package is currently available from CRAN (https://cran.r-project.org/web/packages/rang/index.html) and GitHub (https://github.com/chainsawriot/rang).","container-title":"PLoS ONE [Electronic Resource]","DOI":"10.1371/journal.pone.0286761","ISSN":"1932-6203","issue":"6","page":"e0286761","title":"rang: Reconstructing reproducible R computational environments","volume":"18","author":[{"literal":"Chan C H"},{"literal":"Schoch D"}],"issued":{"date-parts":[["2023"]]}}}],"schema":"https://github.com/citation-style-language/schema/raw/master/csl-citation.json"} </w:instrText>
      </w:r>
      <w:r w:rsidR="43D73665" w:rsidRPr="008C17AC">
        <w:rPr>
          <w:rFonts w:ascii="Times New Roman" w:eastAsia="Times New Roman" w:hAnsi="Times New Roman" w:cs="Times New Roman"/>
        </w:rPr>
        <w:fldChar w:fldCharType="separate"/>
      </w:r>
      <w:r w:rsidR="42CAB11E" w:rsidRPr="008C17AC">
        <w:rPr>
          <w:rFonts w:ascii="Times New Roman" w:hAnsi="Times New Roman" w:cs="Times New Roman"/>
        </w:rPr>
        <w:t>[61]</w:t>
      </w:r>
      <w:r w:rsidR="43D73665" w:rsidRPr="008C17AC">
        <w:rPr>
          <w:rFonts w:ascii="Times New Roman" w:eastAsia="Times New Roman" w:hAnsi="Times New Roman" w:cs="Times New Roman"/>
        </w:rPr>
        <w:fldChar w:fldCharType="end"/>
      </w:r>
      <w:r w:rsidR="3F932B93" w:rsidRPr="008C17AC">
        <w:rPr>
          <w:rFonts w:ascii="Times New Roman" w:eastAsia="Times New Roman" w:hAnsi="Times New Roman" w:cs="Times New Roman"/>
        </w:rPr>
        <w:t>; two studies investigated the effect of badges</w:t>
      </w:r>
      <w:r w:rsidRPr="008C17AC">
        <w:rPr>
          <w:rFonts w:ascii="Times New Roman" w:eastAsia="Times New Roman" w:hAnsi="Times New Roman" w:cs="Times New Roman"/>
        </w:rPr>
        <w:t xml:space="preserve"> </w:t>
      </w:r>
      <w:r w:rsidR="4507AAF9" w:rsidRPr="008C17AC">
        <w:rPr>
          <w:rFonts w:ascii="Times New Roman" w:eastAsia="Times New Roman" w:hAnsi="Times New Roman" w:cs="Times New Roman"/>
        </w:rPr>
        <w:t xml:space="preserve">on whether the results of a study could be reproduced without discrepancies </w:t>
      </w:r>
      <w:r w:rsidR="43D73665" w:rsidRPr="008C17AC">
        <w:rPr>
          <w:rFonts w:ascii="Times New Roman" w:eastAsia="Times New Roman" w:hAnsi="Times New Roman" w:cs="Times New Roman"/>
        </w:rPr>
        <w:fldChar w:fldCharType="begin"/>
      </w:r>
      <w:r w:rsidR="43D73665" w:rsidRPr="008C17AC">
        <w:rPr>
          <w:rFonts w:ascii="Times New Roman" w:eastAsia="Times New Roman" w:hAnsi="Times New Roman" w:cs="Times New Roman"/>
        </w:rPr>
        <w:instrText xml:space="preserve"> ADDIN ZOTERO_ITEM CSL_CITATION {"citationID":"ID9mMx5V","properties":{"formattedCitation":"[65,83]","plainCitation":"[65,83]","noteIndex":0},"citationItems":[{"id":29801,"uris":["http://zotero.org/groups/4983756/items/T2EZWLWC"],"itemData":{"id":29801,"type":"article-journal","abstract":"In April 2019, Psychological Science published its first issue in which all Research Articles received the Open Data badge. We used that issue to investigate the effectiveness of this badge, focusing on the adherence to its aim at Psychological Science: sharing both data and code to ensure reproducibility of results. Twelve researchers of varying experience levels attempted to reproduce the results of the empirical articles in the target issue (at least three researchers per article). We found that all 14 articles provided at least some data and six provided analysis code, but only one article was rated to be exactly reproducible, and three were rated as essentially reproducible with minor deviations. We suggest that researchers should be encouraged to adhere to the higher standard in force at Psychological Science. Moreover, a check of reproducibility during peer review may be preferable to the disclosure method of awarding badges. © The Author(s) 2023.","container-title":"Psychological Science","DOI":"10.1177/09567976221140828","ISSN":"09567976 (ISSN)","issue":"4","page":"512-522","title":"What’s in a Badge? A Computational Reproducibility Investigation of the Open Data Badge Policy in One Issue of Psychological Science","volume":"34","author":[{"literal":"Crüwell S"},{"literal":"Apthorp D"},{"literal":"Baker B J"},{"literal":"Colling L"},{"literal":"Elson M"},{"literal":"Geiger S J"},{"literal":"Lobentanzer S"},{"literal":"Monéger J"},{"literal":"Patterson A"},{"literal":"Schwarzkopf D S"},{"literal":"Zaneva M"},{"literal":"Brown N J. L"}],"issued":{"date-parts":[["2023"]]}}},{"id":29652,"uris":["http://zotero.org/groups/4983756/items/7CNFRCL5"],"itemData":{"id":29652,"type":"article-journal","abstract":"For any scientific report, repeating the original analyses upon the original data should yield the original outcomes. We evaluated analytic reproducibility in 25 Psychological Science articles awarded open data badges between 2014 and 2015. Initially, 16 (64%, 95% confidence interval [43,81]) articles contained at least one 'major numerical discrepancy' (&gt;10% difference) prompting us to request input from original authors. Ultimately, target values were reproducible without author involvement for 9 (36% [20,59]) articles; reproducible with author involvement for 6 (24% [8,47]) articles; not fully reproducible with no substantive author response for 3 (12% [0,35]) articles; and not fully reproducible despite author involvement for 7 (28% [12,51]) articles. Overall, 37 major numerical discrepancies remained out of 789 checked values (5% [3,6]), but original conclusions did not appear affected. Non-reproducibility was primarily caused by unclear reporting of analytic procedures. These results highlight that open data alone is not sufficient to ensure analytic reproducibility.","container-title":"Royal Society Open Science","DOI":"10.1098/rsos.201494","ISSN":"2054-5703","issue":"1","page":"201494","title":"Analytic reproducibility in articles receiving open data badges at the journal Psychological Science: an observational study","volume":"8","author":[{"literal":"Hardwicke T E"},{"literal":"Bohn M"},{"literal":"MacDonald K"},{"literal":"Hembacher E"},{"literal":"Nuijten M B"},{"literal":"Peloquin B N"},{"literal":"deMayo B E"},{"literal":"Long B"},{"literal":"Yoon E J"},{"literal":"Frank M C"}],"issued":{"date-parts":[["2021"]]}}}],"schema":"https://github.com/citation-style-language/schema/raw/master/csl-citation.json"} </w:instrText>
      </w:r>
      <w:r w:rsidR="43D73665" w:rsidRPr="008C17AC">
        <w:rPr>
          <w:rFonts w:ascii="Times New Roman" w:eastAsia="Times New Roman" w:hAnsi="Times New Roman" w:cs="Times New Roman"/>
        </w:rPr>
        <w:fldChar w:fldCharType="separate"/>
      </w:r>
      <w:r w:rsidR="42CAB11E" w:rsidRPr="008C17AC">
        <w:rPr>
          <w:rFonts w:ascii="Times New Roman" w:hAnsi="Times New Roman" w:cs="Times New Roman"/>
        </w:rPr>
        <w:t>[65,83]</w:t>
      </w:r>
      <w:r w:rsidR="43D73665" w:rsidRPr="008C17AC">
        <w:rPr>
          <w:rFonts w:ascii="Times New Roman" w:eastAsia="Times New Roman" w:hAnsi="Times New Roman" w:cs="Times New Roman"/>
        </w:rPr>
        <w:fldChar w:fldCharType="end"/>
      </w:r>
      <w:r w:rsidR="3F932B93" w:rsidRPr="008C17AC">
        <w:rPr>
          <w:rFonts w:ascii="Times New Roman" w:eastAsia="Times New Roman" w:hAnsi="Times New Roman" w:cs="Times New Roman"/>
        </w:rPr>
        <w:t>; two studies investigated the effect of journal policies</w:t>
      </w:r>
      <w:r w:rsidR="4E58227E" w:rsidRPr="008C17AC">
        <w:rPr>
          <w:rFonts w:ascii="Times New Roman" w:eastAsia="Times New Roman" w:hAnsi="Times New Roman" w:cs="Times New Roman"/>
        </w:rPr>
        <w:t xml:space="preserve"> on whether the results of a study could be reproduced without discrepancies</w:t>
      </w:r>
      <w:r w:rsidR="3F932B93" w:rsidRPr="008C17AC">
        <w:rPr>
          <w:rFonts w:ascii="Times New Roman" w:eastAsia="Times New Roman" w:hAnsi="Times New Roman" w:cs="Times New Roman"/>
        </w:rPr>
        <w:t xml:space="preserve"> </w:t>
      </w:r>
      <w:r w:rsidR="43D73665" w:rsidRPr="008C17AC">
        <w:rPr>
          <w:rFonts w:ascii="Times New Roman" w:eastAsia="Times New Roman" w:hAnsi="Times New Roman" w:cs="Times New Roman"/>
        </w:rPr>
        <w:fldChar w:fldCharType="begin"/>
      </w:r>
      <w:r w:rsidR="43D73665" w:rsidRPr="008C17AC">
        <w:rPr>
          <w:rFonts w:ascii="Times New Roman" w:eastAsia="Times New Roman" w:hAnsi="Times New Roman" w:cs="Times New Roman"/>
        </w:rPr>
        <w:instrText xml:space="preserve"> ADDIN ZOTERO_ITEM CSL_CITATION {"citationID":"HktmOKgI","properties":{"formattedCitation":"[93,103]","plainCitation":"[93,103]","noteIndex":0},"citationItems":[{"id":29771,"uris":["http://zotero.org/groups/4983756/items/V2WB6YWA"],"itemData":{"id":29771,"type":"article-journal","abstract":"In 2019 the Journal of Memory and Language instituted an open data and code policy; this policy requires that, as a rule, code and data be released at the latest upon publication. How effective is this policy? We compared 59 papers published before, and 59 papers published after, the policy took effect. After the policy was in place, the rate of data sharing increased by more than 50%. We further looked at whether papers published under the open data policy were reproducible, in the sense that the published results should be possible to regenerate given the data, and given the code, when code was provided. For 8 out of the 59 papers, data sets were inaccessible. The reproducibility rate ranged from 34% to 56%, depending on the reproducibility criteria. The strongest predictor of whether an attempt to reproduce would be successful is the presence of the analysis code: it increases the probability of reproducing reported results by almost 40%. We propose two simple steps that can increase the reproducibility of published papers: share the analysis code, and attempt to reproduce one's own analysis using only the shared materials. © 2022 The Author(s)","container-title":"Journal of Memory and Language","DOI":"10.1016/j.jml.2022.104332","ISSN":"0749596X (ISSN)","page":"104332","title":"Share the code, not just the data: A case study of the reproducibility of articles published in the Journal of Memory and Language under the open data policy","volume":"125","author":[{"literal":"Laurinavichyute A"},{"literal":"Yadav H"},{"literal":"Vasishth S"}],"issued":{"date-parts":[["2022"]]}}},{"id":29686,"uris":["http://zotero.org/groups/4983756/items/4P7J7LM9"],"itemData":{"id":29686,"type":"article-journal","abstract":"Objectives To explore the effectiveness of data sharing by randomized controlled trials (RCTs) in journals with a full data sharing policy and to describe potential difficulties encountered in the process of performing reanalyses of the primary outcomes. Design Survey of published RCTs. Setting PubMed/Medline. Eligibility criteria RCTs that had been submitted and published by The BMJ and PLOS Medicine subsequent to the adoption of data sharing policies by these journals. Main outcome measure The primary outcome was data availability, defined as the eventual receipt of complete data with clear labelling. Primary outcomes were reanalyzed to assess to what extent studies were reproduced. Difficulties encountered were described. Results 37 RCTs (21 from The BMJ and 16 from PLOS Medicine) published between 2013 and 2016 met the eligibility criteria. 17/37 (46%, 95% confidence interval 30% to 62%) satisfied the definition of data availability and 14 of the 17 (82%, 59% to 94%) were fully reproduced on all their primary outcomes. Of the remaining RCTs, errors were identified in two but reached similar conclusions and one paper did not provide enough information in the Methods section to reproduce the analyses. Difficulties identified included problems in contacting corresponding authors and lack of resources on their behalf in preparing the datasets. In addition, there was a range of different data sharing practices across study groups. Conclusions Data availability was not optimal in two journals with a strong policy for data sharing. When investigators shared data, most reanalyses largely reproduced the original results. Data sharing practices need to become more widespread and streamlined to allow meaningful reanalyses and reuse of data. Trial registration Open Science Framework osf.io/c4zke. © Published by the BMJ Publishing Group Limited..","container-title":"BMJ (Online)","DOI":"10.1136/bmj.k400","ISSN":"09598146 (ISSN)","page":"k400","title":"Data sharing and reanalysis of randomized controlled trials in leading biomedical journals with a full data sharing policy: Survey of studies published in the BMJ and PLOS Medicine","volume":"360","author":[{"literal":"Naudet F"},{"literal":"Sakarovitch C"},{"literal":"Janiaud P"},{"literal":"Cristea I"},{"literal":"Fanelli D"},{"literal":"Moher D"},{"literal":"Ioannidis J P. A"}],"issued":{"date-parts":[["2018"]]}}}],"schema":"https://github.com/citation-style-language/schema/raw/master/csl-citation.json"} </w:instrText>
      </w:r>
      <w:r w:rsidR="43D73665" w:rsidRPr="008C17AC">
        <w:rPr>
          <w:rFonts w:ascii="Times New Roman" w:eastAsia="Times New Roman" w:hAnsi="Times New Roman" w:cs="Times New Roman"/>
        </w:rPr>
        <w:fldChar w:fldCharType="separate"/>
      </w:r>
      <w:r w:rsidR="0732E9DE" w:rsidRPr="008C17AC">
        <w:rPr>
          <w:rFonts w:ascii="Times New Roman" w:hAnsi="Times New Roman" w:cs="Times New Roman"/>
        </w:rPr>
        <w:t>[93,103]</w:t>
      </w:r>
      <w:r w:rsidR="43D73665" w:rsidRPr="008C17AC">
        <w:rPr>
          <w:rFonts w:ascii="Times New Roman" w:eastAsia="Times New Roman" w:hAnsi="Times New Roman" w:cs="Times New Roman"/>
        </w:rPr>
        <w:fldChar w:fldCharType="end"/>
      </w:r>
      <w:r w:rsidR="3F932B93" w:rsidRPr="008C17AC">
        <w:rPr>
          <w:rFonts w:ascii="Times New Roman" w:eastAsia="Times New Roman" w:hAnsi="Times New Roman" w:cs="Times New Roman"/>
        </w:rPr>
        <w:t xml:space="preserve">; one study investigated the effect of registered reports </w:t>
      </w:r>
      <w:r w:rsidR="3AEAD1F6" w:rsidRPr="008C17AC">
        <w:rPr>
          <w:rFonts w:ascii="Times New Roman" w:eastAsia="Times New Roman" w:hAnsi="Times New Roman" w:cs="Times New Roman"/>
        </w:rPr>
        <w:t xml:space="preserve">on whether the same main results with minimal mistakes could be reproduced </w:t>
      </w:r>
      <w:r w:rsidR="43D73665" w:rsidRPr="008C17AC">
        <w:rPr>
          <w:rFonts w:ascii="Times New Roman" w:eastAsia="Times New Roman" w:hAnsi="Times New Roman" w:cs="Times New Roman"/>
        </w:rPr>
        <w:fldChar w:fldCharType="begin"/>
      </w:r>
      <w:r w:rsidR="43D73665" w:rsidRPr="008C17AC">
        <w:rPr>
          <w:rFonts w:ascii="Times New Roman" w:eastAsia="Times New Roman" w:hAnsi="Times New Roman" w:cs="Times New Roman"/>
        </w:rPr>
        <w:instrText xml:space="preserve"> ADDIN ZOTERO_ITEM CSL_CITATION {"citationID":"FyKGQlC9","properties":{"formattedCitation":"[106]","plainCitation":"[106]","noteIndex":0},"citationItems":[{"id":29651,"uris":["http://zotero.org/groups/4983756/items/WAY2NIBF"],"itemData":{"id":29651,"type":"article-journal","abstract":"Ongoing technological developments have made it easier than ever before for scientists to share their data, materials, and analysis code. Sharing data and analysis code makes it easier for other researchers to reuse or check published research. However, these benefits will emerge only if researchers can reproduce the analyses reported in published articles and if data are annotated well enough so that it is clear what all variable and value labels mean. Because most researchers are not trained in computational reproducibility, it is important to evaluate current practices to identify those that can be improved. We examined data and code sharing for Registered Reports published in the psychological literature from 2014 to 2018 and attempted to independently computationally reproduce the main results in each article. Of the 62 articles that met our inclusion criteria, 41 had data available, and 37 had analysis scripts available. Both data and code for 36 of the articles were shared. We could run the scripts for 31 analyses, and we reproduced the main results for 21 articles. Although the percentage of articles for which both data and code were shared (36 out of 62, or 58%) and the percentage of articles for which main results could be computationally reproduced (21 out of 36, or 58%) were relatively high compared with the percentages found in other studies, there is clear room for improvement. We provide practical recommendations based on our observations and cite examples of good research practices in the studies whose main results we reproduced. (PsycInfo Database Record (c) 2022 APA, all rights reserved)","container-title":"Advances in Methods and Practices in Psychological Science","DOI":"10.1177/2515245920918872","ISSN":"2515-2459 2515-2467","issue":"2","page":"229-237","title":"Analysis of open data and computational reproducibility in registered reports in psychology","volume":"3","author":[{"literal":"Obels Pepijn"},{"literal":"Lakens Daniel"},{"literal":"Coles Nicholas A"},{"literal":"Gottfried Jaroslav"},{"literal":"Green Seth A"}],"issued":{"date-parts":[["2020"]]}}}],"schema":"https://github.com/citation-style-language/schema/raw/master/csl-citation.json"} </w:instrText>
      </w:r>
      <w:r w:rsidR="43D73665" w:rsidRPr="008C17AC">
        <w:rPr>
          <w:rFonts w:ascii="Times New Roman" w:eastAsia="Times New Roman" w:hAnsi="Times New Roman" w:cs="Times New Roman"/>
        </w:rPr>
        <w:fldChar w:fldCharType="separate"/>
      </w:r>
      <w:r w:rsidR="0732E9DE" w:rsidRPr="008C17AC">
        <w:rPr>
          <w:rFonts w:ascii="Times New Roman" w:hAnsi="Times New Roman" w:cs="Times New Roman"/>
        </w:rPr>
        <w:t>[106]</w:t>
      </w:r>
      <w:r w:rsidR="43D73665" w:rsidRPr="008C17AC">
        <w:rPr>
          <w:rFonts w:ascii="Times New Roman" w:eastAsia="Times New Roman" w:hAnsi="Times New Roman" w:cs="Times New Roman"/>
        </w:rPr>
        <w:fldChar w:fldCharType="end"/>
      </w:r>
      <w:r w:rsidR="3F932B93" w:rsidRPr="008C17AC">
        <w:rPr>
          <w:rFonts w:ascii="Times New Roman" w:eastAsia="Times New Roman" w:hAnsi="Times New Roman" w:cs="Times New Roman"/>
        </w:rPr>
        <w:t xml:space="preserve">; one study investigated the effect of workflow tools </w:t>
      </w:r>
      <w:r w:rsidR="04E269B0" w:rsidRPr="008C17AC">
        <w:rPr>
          <w:rFonts w:ascii="Times New Roman" w:eastAsia="Times New Roman" w:hAnsi="Times New Roman" w:cs="Times New Roman"/>
        </w:rPr>
        <w:t xml:space="preserve">on whether the same results could be reproduced </w:t>
      </w:r>
      <w:r w:rsidR="43D73665" w:rsidRPr="008C17AC">
        <w:rPr>
          <w:rFonts w:ascii="Times New Roman" w:eastAsia="Times New Roman" w:hAnsi="Times New Roman" w:cs="Times New Roman"/>
        </w:rPr>
        <w:fldChar w:fldCharType="begin"/>
      </w:r>
      <w:r w:rsidR="43D73665" w:rsidRPr="008C17AC">
        <w:rPr>
          <w:rFonts w:ascii="Times New Roman" w:eastAsia="Times New Roman" w:hAnsi="Times New Roman" w:cs="Times New Roman"/>
        </w:rPr>
        <w:instrText xml:space="preserve"> ADDIN ZOTERO_ITEM CSL_CITATION {"citationID":"YaS81dhv","properties":{"formattedCitation":"[95]","plainCitation":"[95]","noteIndex":0},"citationItems":[{"id":29769,"uris":["http://zotero.org/groups/4983756/items/U6JD7RUC"],"itemData":{"id":29769,"type":"article-journal","abstract":"Big biomedical data create exciting opportunities for discovery, but make it difficult to capture analyses and outputs in forms that are findable, accessible, interoperable, and reusable (FAIR). In response, we describe tools that make it easy to capture, and assign identifiers to, data and code throughout the data lifecycle. We illustrate the use of these tools via a case study involving a multi-step analysis that creates an atlas of putative transcription factor binding sites from terabytes of ENCODE DNase I hypersensitive sites sequencing data. We show how the tools automate routine but complex tasks, capture analysis algorithms in understandable and reusable forms, and harness fast networks and powerful cloud computers to process data rapidly, all without sacrificing usability or reproducibility-thus ensuring that big data are not hard-to-(re)use data. We evaluate our approach via a user study, and show that 91% of participants were able to replicate a complex analysis involving considerable data volumes.","container-title":"PLoS ONE [Electronic Resource]","DOI":"10.1371/journal.pone.0213013","ISSN":"1932-6203","issue":"4","page":"e0213013","title":"Reproducible big data science: A case study in continuous FAIRness","volume":"14","author":[{"literal":"Madduri R"},{"literal":"Chard K"},{"literal":"D'Arcy M"},{"literal":"Jung S C"},{"literal":"Rodriguez A"},{"literal":"Sulakhe D"},{"literal":"Deutsch E"},{"literal":"Funk C"},{"literal":"Heavner B"},{"literal":"Richards M"},{"literal":"Shannon P"},{"literal":"Glusman G"},{"literal":"Price N"},{"literal":"Kesselman C"},{"literal":"Foster I"}],"issued":{"date-parts":[["2019"]]}}}],"schema":"https://github.com/citation-style-language/schema/raw/master/csl-citation.json"} </w:instrText>
      </w:r>
      <w:r w:rsidR="43D73665" w:rsidRPr="008C17AC">
        <w:rPr>
          <w:rFonts w:ascii="Times New Roman" w:eastAsia="Times New Roman" w:hAnsi="Times New Roman" w:cs="Times New Roman"/>
        </w:rPr>
        <w:fldChar w:fldCharType="separate"/>
      </w:r>
      <w:r w:rsidR="6A9E2521" w:rsidRPr="008C17AC">
        <w:rPr>
          <w:rFonts w:ascii="Times New Roman" w:hAnsi="Times New Roman" w:cs="Times New Roman"/>
        </w:rPr>
        <w:t>[95]</w:t>
      </w:r>
      <w:r w:rsidR="43D73665" w:rsidRPr="008C17AC">
        <w:rPr>
          <w:rFonts w:ascii="Times New Roman" w:eastAsia="Times New Roman" w:hAnsi="Times New Roman" w:cs="Times New Roman"/>
        </w:rPr>
        <w:fldChar w:fldCharType="end"/>
      </w:r>
      <w:r w:rsidR="3F932B93" w:rsidRPr="008C17AC">
        <w:rPr>
          <w:rFonts w:ascii="Times New Roman" w:eastAsia="Times New Roman" w:hAnsi="Times New Roman" w:cs="Times New Roman"/>
        </w:rPr>
        <w:t>; and one study investigated the effect of building a training community</w:t>
      </w:r>
      <w:r w:rsidRPr="008C17AC">
        <w:rPr>
          <w:rFonts w:ascii="Times New Roman" w:eastAsia="Times New Roman" w:hAnsi="Times New Roman" w:cs="Times New Roman"/>
        </w:rPr>
        <w:t xml:space="preserve"> </w:t>
      </w:r>
      <w:r w:rsidR="10BB5966" w:rsidRPr="008C17AC">
        <w:rPr>
          <w:rFonts w:ascii="Times New Roman" w:eastAsia="Times New Roman" w:hAnsi="Times New Roman" w:cs="Times New Roman"/>
        </w:rPr>
        <w:t xml:space="preserve">on whether articles from this community could be reproduced </w:t>
      </w:r>
      <w:r w:rsidR="43D73665" w:rsidRPr="008C17AC">
        <w:rPr>
          <w:rFonts w:ascii="Times New Roman" w:eastAsia="Times New Roman" w:hAnsi="Times New Roman" w:cs="Times New Roman"/>
        </w:rPr>
        <w:fldChar w:fldCharType="begin"/>
      </w:r>
      <w:r w:rsidR="43D73665" w:rsidRPr="008C17AC">
        <w:rPr>
          <w:rFonts w:ascii="Times New Roman" w:eastAsia="Times New Roman" w:hAnsi="Times New Roman" w:cs="Times New Roman"/>
        </w:rPr>
        <w:instrText xml:space="preserve"> ADDIN ZOTERO_ITEM CSL_CITATION {"citationID":"SDzMNHvl","properties":{"formattedCitation":"[110]","plainCitation":"[110]","noteIndex":0},"citationItems":[{"id":29735,"uris":["http://zotero.org/groups/4983756/items/INLL35UM"],"itemData":{"id":29735,"type":"paper-conference","abstract":"Reproducible research results are among the pillars of sustainable science, and considerable progress has been achieved in this direction recently. However, there is much room for improvement across the research communities. Here we analyze the reproducibility of 108 publications from an interdisciplinary Collaborative Research Center on applied mathematics in various scientific fields. Based on a previous reproducibility study in hydrology, we identify the rate of reproducible scientific results and why reproducibility fails. We identify the main problems that hinder reproducible results and relate them to previous interventions targeting the research culture of reproducible scientific findings. Thus, the success of our measures can be estimated, and specific recommendations for future work can be derived. In our study, the number of publications that allow for at least partly reproducible research results increased over time. However, we see an ongoing need for directives and support in research data management among research communities since issues concerning data accessibility and quality limit the reproducibility of scientific results. We argue that our results are representative of other interdisciplinary research areas. © 2022 Gesellschaft fur Informatik (GI). All rights reserved.","DOI":"10.18420/inf2022_114","ISBN":"16175468 (ISSN); 978-388579720-3 (ISBN)","page":"1341-1352","publisher":"Gesellschaft fur Informatik (GI)","title":"Including Data Management in Research Culture Increases the Reproducibility of Scientific Results","URL":"https://www.scopus.com/inward/record.uri?eid=2-s2.0-85139744413&amp;doi=10.18420%2finf2022_114&amp;partnerID=40&amp;md5=2890832363c9078bfcacea10893943dc","volume":"P-326","author":[{"literal":"Riedel C"},{"literal":"Geßner H"},{"literal":"Seegebrecht A"},{"literal":"Ayon S I"},{"literal":"Chowdhury S H"},{"literal":"Engbert R"},{"literal":"Lucke U"}],"editor":[{"literal":"Demmler D"},{"literal":"Universitat Hamburg"},{"literal":"Vogt-Kolln-Strasse Hamburg"},{"literal":"Krupka D"},{"literal":"Gesellschaft fur Informatik"},{"literal":"Anna-Louisa-Karsch-Strasse Berlin"},{"literal":"Federrath H"},{"literal":"Universitat Hamburg"},{"literal":"Vogt-Kolln-Strasse Hamburg"}],"issued":{"date-parts":[["2022"]]}}}],"schema":"https://github.com/citation-style-language/schema/raw/master/csl-citation.json"} </w:instrText>
      </w:r>
      <w:r w:rsidR="43D73665" w:rsidRPr="008C17AC">
        <w:rPr>
          <w:rFonts w:ascii="Times New Roman" w:eastAsia="Times New Roman" w:hAnsi="Times New Roman" w:cs="Times New Roman"/>
        </w:rPr>
        <w:fldChar w:fldCharType="separate"/>
      </w:r>
      <w:r w:rsidR="6A9E2521" w:rsidRPr="008C17AC">
        <w:rPr>
          <w:rFonts w:ascii="Times New Roman" w:hAnsi="Times New Roman" w:cs="Times New Roman"/>
        </w:rPr>
        <w:t>[110]</w:t>
      </w:r>
      <w:r w:rsidR="43D73665" w:rsidRPr="008C17AC">
        <w:rPr>
          <w:rFonts w:ascii="Times New Roman" w:eastAsia="Times New Roman" w:hAnsi="Times New Roman" w:cs="Times New Roman"/>
        </w:rPr>
        <w:fldChar w:fldCharType="end"/>
      </w:r>
      <w:r w:rsidR="3F932B93" w:rsidRPr="008C17AC">
        <w:rPr>
          <w:rFonts w:ascii="Times New Roman" w:eastAsia="Times New Roman" w:hAnsi="Times New Roman" w:cs="Times New Roman"/>
        </w:rPr>
        <w:t>. Two studies investigated the effect of standardization of processes and statistical analyses on replicability</w:t>
      </w:r>
      <w:r w:rsidR="75F456E9" w:rsidRPr="008C17AC">
        <w:rPr>
          <w:rFonts w:ascii="Times New Roman" w:eastAsia="Times New Roman" w:hAnsi="Times New Roman" w:cs="Times New Roman"/>
        </w:rPr>
        <w:t xml:space="preserve"> of results from different laboratories</w:t>
      </w:r>
      <w:r w:rsidR="3F932B93" w:rsidRPr="008C17AC">
        <w:rPr>
          <w:rFonts w:ascii="Times New Roman" w:eastAsia="Times New Roman" w:hAnsi="Times New Roman" w:cs="Times New Roman"/>
        </w:rPr>
        <w:t xml:space="preserve"> </w:t>
      </w:r>
      <w:r w:rsidR="43D73665" w:rsidRPr="008C17AC">
        <w:rPr>
          <w:rFonts w:ascii="Times New Roman" w:eastAsia="Times New Roman" w:hAnsi="Times New Roman" w:cs="Times New Roman"/>
        </w:rPr>
        <w:fldChar w:fldCharType="begin"/>
      </w:r>
      <w:r w:rsidR="43D73665" w:rsidRPr="008C17AC">
        <w:rPr>
          <w:rFonts w:ascii="Times New Roman" w:eastAsia="Times New Roman" w:hAnsi="Times New Roman" w:cs="Times New Roman"/>
        </w:rPr>
        <w:instrText xml:space="preserve"> ADDIN ZOTERO_ITEM CSL_CITATION {"citationID":"mvdixTnX","properties":{"formattedCitation":"[51,118]","plainCitation":"[51,118]","noteIndex":0},"citationItems":[{"id":29767,"uris":["http://zotero.org/groups/4983756/items/QZAFC6D8"],"itemData":{"id":29767,"type":"article-journal","abstract":"Inconsistent findings between laboratories are hampering scientific progress and are of increasing public concern. Differences in laboratory environment is a known factor contributing to poor reproducibility of findings between research sites, and well-controlled multisite efforts are an important next step to identify the relevant factors needed to reduce variation in study outcome between laboratories. Through harmonization of apparatus, test protocol, and aligned and non-aligned environmental variables, the present study shows that behavioral pharmacological responses in Shank2 knockout (KO) rats, a model of synaptic dysfunction relevant to autism spectrum disorders, were highly replicable across three research centers. All three sites reliably observed a hyperactive and repetitive behavioral phenotype in KO rats compared to their wild-type littermates as well as a dose-dependent phenotype attenuation following acute injections of a selective mGluR1 antagonist. These results show that reproducibility in preclinical studies can be obtained and emphasizes the need for high quality and rigorous methodologies in scientific research. Considering the observed external validity, the present study also suggests mGluR1 as potential target for the treatment of autism spectrum disorders.","container-title":"Scientific Reports","DOI":"10.1038/s41598-019-47981-0","ISSN":"2045-2322","page":"11602","title":"Reproducibility via coordinated standardization: a multi-center study in a Shank2 genetic rat model for Autism Spectrum Disorders","volume":"9","author":[{"literal":"Arroyo-Araujo M"},{"literal":"Graf R"},{"literal":"Maco M"},{"literal":"van Dam E"},{"literal":"Schenker E"},{"literal":"Drinkenburg W"},{"literal":"Koopmans B"},{"literal":"de Boer S F"},{"literal":"Cullum-Doyle M"},{"literal":"Noldus Lpjj"},{"literal":"Loos M"},{"literal":"van Dommelen W"},{"literal":"Spooren W"},{"literal":"Biemans B"},{"literal":"Buhl D L"},{"literal":"Kas M J"}],"issued":{"date-parts":[["2019"]]}}},{"id":29795,"uris":["http://zotero.org/groups/4983756/items/64UMKTSE"],"itemData":{"id":29795,"type":"article-journal","abstract":"Untargeted lipidomics allows analysis of a broader range of lipids than targeted methods and permits discovery of unknown compounds. Previous ring trials have evaluated the reproducibility of targeted lipidomics methods, but inter-laboratory comparison of compound identification and unknown feature detection in untargeted lipidomics has not been attempted. To address this gap, five laboratories analyzed a set of mammalian tissue and biofluid reference samples using both their own untargeted lipidomics procedures and a common chromatographic and data analysis method. While both methods yielded informative data, the common method improved chromatographic reproducibility and resulted in detection of more shared features between labs. Spectral search against the LipidBlast in silico library enabled identification of over 2,000 unique lipids. Further examination of LC-MS/MS and ion mobility data, aided by hybrid search and spectral networking analysis, revealed spectral and chromatographic patterns useful for classification of unknown features, a subset of which were highly reproducible between labs. Overall, our method offers enhanced compound identification performance compared to targeted lipidomics, demonstrates the potential of harmonized methods to improve inter-site reproducibility for quantitation and feature alignment, and can serve as a reference to aid future annotation of untargeted lipidomics data.","container-title":"BioRxiv : the Preprint Server for Biology","DOI":"10.1101/2023.02.01.526566","page":"03","title":"The unknown lipids project: harmonized methods improve compound identification and data reproducibility in an inter-laboratory untargeted lipidomics study","volume":"03","author":[{"literal":"Shen T"},{"literal":"Conway C"},{"literal":"Rempfert K R"},{"literal":"Kyle J E"},{"literal":"Colby S M"},{"literal":"Gaul D A"},{"literal":"Habra H"},{"literal":"Kong F"},{"literal":"Bloodsworth K J"},{"literal":"Allen D"},{"literal":"Evans B S"},{"literal":"Du X"},{"literal":"Fernandez F M"},{"literal":"Metz T O"},{"literal":"Fiehn O"},{"literal":"Evans C R"}],"issued":{"date-parts":[["2023"]]}}}],"schema":"https://github.com/citation-style-language/schema/raw/master/csl-citation.json"} </w:instrText>
      </w:r>
      <w:r w:rsidR="43D73665" w:rsidRPr="008C17AC">
        <w:rPr>
          <w:rFonts w:ascii="Times New Roman" w:eastAsia="Times New Roman" w:hAnsi="Times New Roman" w:cs="Times New Roman"/>
        </w:rPr>
        <w:fldChar w:fldCharType="separate"/>
      </w:r>
      <w:r w:rsidR="6A9E2521" w:rsidRPr="008C17AC">
        <w:rPr>
          <w:rFonts w:ascii="Times New Roman" w:hAnsi="Times New Roman" w:cs="Times New Roman"/>
        </w:rPr>
        <w:t>[51,118]</w:t>
      </w:r>
      <w:r w:rsidR="43D73665" w:rsidRPr="008C17AC">
        <w:rPr>
          <w:rFonts w:ascii="Times New Roman" w:eastAsia="Times New Roman" w:hAnsi="Times New Roman" w:cs="Times New Roman"/>
        </w:rPr>
        <w:fldChar w:fldCharType="end"/>
      </w:r>
      <w:r w:rsidR="3F932B93" w:rsidRPr="008C17AC">
        <w:rPr>
          <w:rFonts w:ascii="Times New Roman" w:eastAsia="Times New Roman" w:hAnsi="Times New Roman" w:cs="Times New Roman"/>
        </w:rPr>
        <w:t xml:space="preserve">. One article included three studies all about </w:t>
      </w:r>
      <w:r w:rsidR="130188F6" w:rsidRPr="008C17AC">
        <w:rPr>
          <w:rFonts w:ascii="Times New Roman" w:eastAsia="Times New Roman" w:hAnsi="Times New Roman" w:cs="Times New Roman"/>
        </w:rPr>
        <w:t>whether</w:t>
      </w:r>
      <w:r w:rsidR="3F932B93" w:rsidRPr="008C17AC">
        <w:rPr>
          <w:rFonts w:ascii="Times New Roman" w:eastAsia="Times New Roman" w:hAnsi="Times New Roman" w:cs="Times New Roman"/>
        </w:rPr>
        <w:t xml:space="preserve"> statistical inconsistencies</w:t>
      </w:r>
      <w:r w:rsidR="2D46679A" w:rsidRPr="008C17AC">
        <w:rPr>
          <w:rFonts w:ascii="Times New Roman" w:eastAsia="Times New Roman" w:hAnsi="Times New Roman" w:cs="Times New Roman"/>
        </w:rPr>
        <w:t xml:space="preserve"> could be solved by sharing the data</w:t>
      </w:r>
      <w:r w:rsidR="3F932B93" w:rsidRPr="008C17AC">
        <w:rPr>
          <w:rFonts w:ascii="Times New Roman" w:eastAsia="Times New Roman" w:hAnsi="Times New Roman" w:cs="Times New Roman"/>
        </w:rPr>
        <w:t xml:space="preserve"> </w:t>
      </w:r>
      <w:r w:rsidR="43D73665" w:rsidRPr="008C17AC">
        <w:rPr>
          <w:rFonts w:ascii="Times New Roman" w:eastAsia="Times New Roman" w:hAnsi="Times New Roman" w:cs="Times New Roman"/>
        </w:rPr>
        <w:fldChar w:fldCharType="begin"/>
      </w:r>
      <w:r w:rsidR="43D73665" w:rsidRPr="008C17AC">
        <w:rPr>
          <w:rFonts w:ascii="Times New Roman" w:eastAsia="Times New Roman" w:hAnsi="Times New Roman" w:cs="Times New Roman"/>
        </w:rPr>
        <w:instrText xml:space="preserve"> ADDIN ZOTERO_ITEM CSL_CITATION {"citationID":"WvoWWxw1","properties":{"formattedCitation":"[105]","plainCitation":"[105]","noteIndex":0},"citationItems":[{"id":29741,"uris":["http://zotero.org/groups/4983756/items/RZS8MYZ9"],"itemData":{"id":29741,"type":"article-journal","abstract":"In this paper, we present three retrospective observational studies that investigate the relation between data sharing and statistical reporting inconsistencies. Previous research found that reluctance to share data was related to a higher prevalence of statistical errors, often in the direction of statistical significance (Wicherts, Bakker, &amp; Molenaar, 2011). We therefore hypothesized that journal policies about data sharing and data sharing itself would reduce these inconsistencies. In Study 1, we compared the prevalence of reporting inconsistencies in two similar journals on decision making with different data sharing policies. In Study 2, we compared reporting inconsistencies in psychology articles published in PLOS journals (with a data sharing policy) and Frontiers in Psychology (without a stipulated data sharing policy). In Study 3, we looked at papers published in the journal Psychological Science to check whether papers with or without an Open Practice Badge differed in the prevalence of reporting errors. Overall, we found no relationship between data sharing and reporting inconsistencies. We did find that journal policies on data sharing seem extremely effective in promoting data sharing. We argue that open data is essential in improving the quality of psychological science, and we discuss ways to detect and reduce reporting inconsistencies in the literature. © 2017 The Author(s).","container-title":"Collabra: Psychology","DOI":"10.1525/collabra.102","ISSN":"24747394 (ISSN)","issue":"1","page":"31","title":"Journal data sharing policies and statistical reporting inconsistencies in psychology","volume":"3","author":[{"literal":"Nuijten M B"},{"literal":"Borghuis J"},{"literal":"Veldkamp C L. S"},{"literal":"Dominguez-Alvarez L"},{"literal":"Van Assen M A. L. M"},{"literal":"Wicherts J M"}],"issued":{"date-parts":[["2017"]]}}}],"schema":"https://github.com/citation-style-language/schema/raw/master/csl-citation.json"} </w:instrText>
      </w:r>
      <w:r w:rsidR="43D73665" w:rsidRPr="008C17AC">
        <w:rPr>
          <w:rFonts w:ascii="Times New Roman" w:eastAsia="Times New Roman" w:hAnsi="Times New Roman" w:cs="Times New Roman"/>
        </w:rPr>
        <w:fldChar w:fldCharType="separate"/>
      </w:r>
      <w:r w:rsidR="40C9911A" w:rsidRPr="008C17AC">
        <w:rPr>
          <w:rFonts w:ascii="Times New Roman" w:hAnsi="Times New Roman" w:cs="Times New Roman"/>
        </w:rPr>
        <w:t>[105]</w:t>
      </w:r>
      <w:r w:rsidR="43D73665" w:rsidRPr="008C17AC">
        <w:rPr>
          <w:rFonts w:ascii="Times New Roman" w:eastAsia="Times New Roman" w:hAnsi="Times New Roman" w:cs="Times New Roman"/>
        </w:rPr>
        <w:fldChar w:fldCharType="end"/>
      </w:r>
      <w:r w:rsidR="3F932B93" w:rsidRPr="008C17AC">
        <w:rPr>
          <w:rFonts w:ascii="Times New Roman" w:eastAsia="Times New Roman" w:hAnsi="Times New Roman" w:cs="Times New Roman"/>
        </w:rPr>
        <w:t xml:space="preserve">, and one study investigated the effect of statistical intervention on the reduction of type-I-errors </w:t>
      </w:r>
      <w:r w:rsidR="43D73665" w:rsidRPr="008C17AC">
        <w:rPr>
          <w:rFonts w:ascii="Times New Roman" w:eastAsia="Times New Roman" w:hAnsi="Times New Roman" w:cs="Times New Roman"/>
        </w:rPr>
        <w:fldChar w:fldCharType="begin"/>
      </w:r>
      <w:r w:rsidR="43D73665" w:rsidRPr="008C17AC">
        <w:rPr>
          <w:rFonts w:ascii="Times New Roman" w:eastAsia="Times New Roman" w:hAnsi="Times New Roman" w:cs="Times New Roman"/>
        </w:rPr>
        <w:instrText xml:space="preserve"> ADDIN ZOTERO_ITEM CSL_CITATION {"citationID":"pAtbO1Dl","properties":{"formattedCitation":"[89]","plainCitation":"[89]","noteIndex":0},"citationItems":[{"id":29641,"uris":["http://zotero.org/groups/4983756/items/MFFPNQCY"],"itemData":{"id":29641,"type":"article-journal","abstract":"The utility of mouse and rat studies critically depends on their replicability in other laboratories. A widely advocated approach to improving replicability is through the rigorous control of predefined animal or experimental conditions, known as standardization. However, this approach limits the generalizability of the findings to only to the standardized conditions and is a potential cause rather than solution to what has been called a replicability crisis. Alternative strategies include estimating the heterogeneity of effects across laboratories, either through designs that vary testing conditions, or by direct statistical analysis of laboratory variation. We previously evaluated our statistical approach for estimating the interlaboratory replicability of a single laboratory discovery. Those results, however, were from a well-coordinated, multi-lab phenotyping study and did not extend to the more realistic setting in which laboratories are operating independently of each other. Here, we sought to test our statistical approach as a realistic prospective experiment, in mice, using 152 results from 5 independent published studies deposited in the Mouse Phenome Database (MPD). In independent replication experiments at 3 laboratories, we found that 53 of the results were replicable, so the other 99 were considered non-replicable. Of the 99 non-replicable results, 59 were statistically significant (at 0.05) in their original single-lab analysis, putting the probability that a single-lab statistical discovery was made even though it is non-replicable, at 59.6%. We then introduced the dimensionless \"Genotype-by-Laboratory\" (GxL) factor-the ratio between the standard deviations of the GxL interaction and the standard deviation within groups. Using the GxL factor reduced the number of single-lab statistical discoveries and alongside reduced the probability of a non-replicable result to be discovered in the single lab to 12.1%. Such reduction naturally leads to reduced power to make replicable discoveries, but this reduction was small (from 87% to 66%), indicating the small price paid for the large improvement in replicability. Tools and data needed for the above GxL adjustment are publicly available at the MPD and will become increasingly useful as the range of assays and testing conditions in this resource increases.","container-title":"Plos Biology","DOI":"10.1371/journal.pbio.3002082","ISSN":"1545-7885","issue":"5","page":"e3002082","title":"A multi-lab experimental assessment reveals that replicability can be improved by using empirical estimates of genotype-by-lab interaction","volume":"21","author":[{"literal":"Jaljuli I"},{"literal":"Kafkafi N"},{"literal":"Giladi E"},{"literal":"Golani I"},{"literal":"Gozes I"},{"literal":"Chesler E J"},{"literal":"Bogue M A"},{"literal":"Benjamini Y"}],"issued":{"date-parts":[["2023"]]}}}],"schema":"https://github.com/citation-style-language/schema/raw/master/csl-citation.json"} </w:instrText>
      </w:r>
      <w:r w:rsidR="43D73665" w:rsidRPr="008C17AC">
        <w:rPr>
          <w:rFonts w:ascii="Times New Roman" w:eastAsia="Times New Roman" w:hAnsi="Times New Roman" w:cs="Times New Roman"/>
        </w:rPr>
        <w:fldChar w:fldCharType="separate"/>
      </w:r>
      <w:r w:rsidR="40C9911A" w:rsidRPr="008C17AC">
        <w:rPr>
          <w:rFonts w:ascii="Times New Roman" w:hAnsi="Times New Roman" w:cs="Times New Roman"/>
        </w:rPr>
        <w:t>[89]</w:t>
      </w:r>
      <w:r w:rsidR="43D73665" w:rsidRPr="008C17AC">
        <w:rPr>
          <w:rFonts w:ascii="Times New Roman" w:eastAsia="Times New Roman" w:hAnsi="Times New Roman" w:cs="Times New Roman"/>
        </w:rPr>
        <w:fldChar w:fldCharType="end"/>
      </w:r>
      <w:r w:rsidR="3F932B93" w:rsidRPr="008C17AC">
        <w:rPr>
          <w:rFonts w:ascii="Times New Roman" w:eastAsia="Times New Roman" w:hAnsi="Times New Roman" w:cs="Times New Roman"/>
        </w:rPr>
        <w:t>.</w:t>
      </w:r>
    </w:p>
    <w:p w14:paraId="07C994CC" w14:textId="7203B329" w:rsidR="30A4E104" w:rsidRPr="008C17AC" w:rsidRDefault="28D1CEA0" w:rsidP="23EF21E2">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rPr>
        <w:t xml:space="preserve">Eighty-nine studies assessed the effect of an intervention on a proxy outcome for reproducibility. </w:t>
      </w:r>
      <w:r w:rsidR="1F0F9E92" w:rsidRPr="008C17AC">
        <w:rPr>
          <w:rFonts w:ascii="Times New Roman" w:eastAsia="Times New Roman" w:hAnsi="Times New Roman" w:cs="Times New Roman"/>
        </w:rPr>
        <w:t>Thirty-five studies assessed the effect of one or more interventions on transparency of research or methods</w:t>
      </w:r>
      <w:r w:rsidR="2C7AA309" w:rsidRPr="008C17AC">
        <w:rPr>
          <w:rFonts w:ascii="Times New Roman" w:eastAsia="Times New Roman" w:hAnsi="Times New Roman" w:cs="Times New Roman"/>
        </w:rPr>
        <w:t xml:space="preserve"> </w:t>
      </w:r>
      <w:r w:rsidR="00215DB0" w:rsidRPr="008C17AC">
        <w:rPr>
          <w:rFonts w:ascii="Times New Roman" w:eastAsia="Times New Roman" w:hAnsi="Times New Roman" w:cs="Times New Roman"/>
        </w:rPr>
        <w:fldChar w:fldCharType="begin"/>
      </w:r>
      <w:r w:rsidR="00215DB0" w:rsidRPr="008C17AC">
        <w:rPr>
          <w:rFonts w:ascii="Times New Roman" w:eastAsia="Times New Roman" w:hAnsi="Times New Roman" w:cs="Times New Roman"/>
        </w:rPr>
        <w:instrText xml:space="preserve"> ADDIN ZOTERO_ITEM CSL_CITATION {"citationID":"wBxQTAHJ","properties":{"formattedCitation":"[48,49,53,55,57,59,60,62\\uc0\\u8211{}64,70,72\\uc0\\u8211{}74,76,86\\uc0\\u8211{}88,92,94,99,100,104,107,115,120,124,125,127,130\\uc0\\u8211{}132]","plainCitation":"[48,49,53,55,57,59,60,62–64,70,72–74,76,86–88,92,94,99,100,104,107,115,120,124,125,127,130–132]","noteIndex":0},"citationItems":[{"id":29729,"uris":["http://zotero.org/groups/4983756/items/B2KKF53Q"],"itemData":{"id":29729,"type":"article-journal","abstract":"INTRODUCTION: The PROCESS guideline was developed in 2016 through expert Delphi consensus. It aimed to improve the quality of reporting of surgical case series. This study assessed the impact of the introduction of the PROCESS guideline on reporting for surgical case series submitted to three journals. METHODS: 20 case series published in the International Journal of Surgery Case Reports (IJSCR), the International Journal of Surgery (IJS) or the Annals of Medicine and Surgery (AMS) in September to December 2016, prior to the introduction of the PROCESS guideline (the pre-PROCESS period), were randomly identified and scored against the PROCESS criteria. Two authors independently scored each article a total score out of 29, the 'PROCESS score' (expressed as a percentage). Scores for the two researchers were compared and consensus was reached to achieve a final score set. The process was repeated for the January 2017 to April 2017 issues of the three journals, post PROCESS implementation (the post-PROCESS period). RESULTS: The mean PROCESS score was 80% (range 66-90%) for the pre-PROCESS period and 84% (range 72-95%) for the post-PROCESS period, a 4% relative increase [STATS]. The Cohen's Kappa score between researchers was 0.907 implying very substantial agreement. CONCLUSION: Implementation of the PROCESS guideline resulted in a 5% improvement in the reporting quality of surgical case series published in three journals. Further research is needed to identify and successfully navigate existing barriers to greater compliance. Authors, reviewers and editors should adhere to the guidelines to boost reporting quality. Journals should develop their policies and guide for authors to incorporate the guideline and mandate compliance.","container-title":"International Journal Of Surgery","DOI":"10.1016/j.ijsu.2017.07.079","ISSN":"1743-9159","page":"92-97","title":"Impact of the PROCESS guideline on the reporting of surgical case series: A before and after study","volume":"45","author":[{"literal":"Agha R A"},{"literal":"Borrelli M R"},{"literal":"Farwana R"},{"literal":"Kusu-Orkar T"},{"literal":"Millip M C"},{"literal":"Thavayogan R"},{"literal":"Garner J"},{"literal":"Darhouse N"},{"literal":"Orgill D P"}],"issued":{"date-parts":[["2017"]]}}},{"id":29727,"uris":["http://zotero.org/groups/4983756/items/L3DCK5IZ"],"itemData":{"id":29727,"type":"article-journal","abstract":"Background: Journals are an important conduit for the publication of research. However, the reporting quality of research has been shown to be lacking. We sought to determine if reporting quality could be improved by mandating compliance with the relevant reporting guidelines during the submission process to a single surgical journal. Method(s): The policy above was implemented in the International Journal of Surgery (IJS) in March 2013. This involved requiring all authors submitting observational studies, randomised controlled trials (RCTs) and systematic reviews to submit completed STROBE, CONSORT and PRISMA Statement checklists respectively along with their paper, making them available to the editor and peer-reviewers. Articles were analysed in three distinct periods from 2012 to 2014, before and after guideline implementation by two independent teams. Result(s): Our results show that overall STROBE compliance following implementation of the policy increased by a statistically significant 12% (68%-77%, p = 0.00018). Similarly CONSORT compliance increased (50%-70%) as did PRISMA compliance (48%-76%). The items that improved the most were those providing detail on study design, outcome definitions as well as measurement, how patients and quantitative variables were handled during the analyses and discussing limitations and detailing potential sources of bias. Conclusion(s): Implementing a policy mandating the submission of a completed reporting guideline checklist for observational studies, RCTs and systematic reviews can increase compliance. We advocate this measure for other journals and for other study types. Copyright © 2016 IJS Publishing Group Ltd.","container-title":"International Journal of Surgery","DOI":"10.1016/j.ijsu.2016.04.032","ISSN":"1743-9191 1743-9159","page":"169-172","title":"Impact of the mandatory implementation of reporting guidelines on reporting quality in a surgical journal: A before and after study","volume":"30","author":[{"literal":"Agha R A"},{"literal":"Fowler A J"},{"literal":"Limb C"},{"literal":"Whitehurst K"},{"literal":"Coe R"},{"literal":"Sagoo H"},{"literal":"Jafree D J"},{"literal":"Chandrakumar C"},{"literal":"Gundogan B"}],"issued":{"date-parts":[["2016"]]}}},{"id":29713,"uris":["http://zotero.org/groups/4983756/items/RZGWQWAA"],"itemData":{"id":29713,"type":"article-journal","container-title":"Journal of Clinical Oncology","DOI":"10.1200/jco.2017.35.15_suppl.e14026","ISSN":"0732-183X","title":"Examining the adherence to CONSORT guidelines and the reporting of the enrollment process in clinical oncology randomized controlled trials: A review of trials published between 2013 and 2015","volume":"35","author":[{"literal":"Audet S"},{"literal":"Doyle C"},{"literal":"Lemieux C"},{"literal":"Lemieux J"}],"issued":{"date-parts":[["2017"]]}}},{"id":31341,"uris":["http://zotero.org/groups/4983756/items/E587G6GP","http://zotero.org/groups/4983756/items/54LX8ND4"],"itemData":{"id":31341,"type":"article-journal","container-title":"BMC Medicine","DOI":"10.1186/s12916-015-0460-y","ISSN":"1741-7015","issue":"1","journalAbbreviation":"BMC Med","language":"en","page":"221","source":"DOI.org (Crossref)","title":"Impact of an online writing aid tool for writing a randomized trial report: the COBWEB (Consort-based WEB tool) randomized controlled trial","title-short":"Impact of an online writing aid tool for writing a randomized trial report","volume":"13","author":[{"family":"Barnes","given":"Caroline"},{"family":"Boutron","given":"Isabelle"},{"family":"Giraudeau","given":"Bruno"},{"family":"Porcher","given":"Raphael"},{"family":"Altman","given":"Douglas G"},{"family":"Ravaud","given":"Philippe"}],"issued":{"date-parts":[["2015",12]]}}},{"id":29704,"uris":["http://zotero.org/groups/4983756/items/FQ8FWNP8"],"itemData":{"id":29704,"type":"article-journal","abstract":"Objective To evaluate the impact of an editorial intervention to improve completeness of reporting of reports of randomised trials. Design Randomised controlled trial (RCT). Setting BMJ Open’s quality improvement programme. Participants 24 manuscripts describing RCTs. Interventions We used an R Shiny application to randomise manuscripts (1:1 allocation ratio, blocks of 4) to the intervention (n=12) or control (n=12) group. The intervention was performed by a researcher with expertise in the content of the Consolidated Standards of Reporting Trials (CONSORT) and consisted of an evaluation of completeness of reporting of eight core CONSORT items using the submitted checklist to locate information, and the production of a report containing specific requests for authors based on the reporting issues found, provided alongside the peer review reports. The control group underwent the usual peer review. Outcomes The primary outcome is the number of adequately reported items (0–8 scale) in the revised manuscript after the first round of peer review. The main analysis was intention-to-treat (n=24), and we imputed the scores of lost to follow-up manuscripts (rejected after peer review and not resubmitted). The secondary outcome is the proportion of manuscripts where each item was adequately reported. Two blinded reviewers assessed the outcomes independently and in duplicate and solved disagreements by consensus. We also recorded the amount of time to perform the intervention. Results Manuscripts in the intervention group (mean: 7.01; SD: 1.47) were more completely reported than those in the control group (mean: 5.68; SD: 1.43) (mean difference 1.43, 95% CI 0.31 to 2.58). We observed the main differences in items 6a (outcomes), 9 (allocation concealment mechanism), 11a (blinding) and 17a (outcomes and estimation). The mean time to perform the intervention was 87 (SD 42) min. Conclusions We demonstrated the benefit of involving a reporting guideline expert in the editorial process. Improving the completeness of RCTs is essential to enhance their usability. Trial registration number NCT03751878.","container-title":"BMJ Open","DOI":"10.1136/bmjopen-2020-036799","ISSN":"2044-6055, 2044-6055","issue":"5","page":"e036799","title":"Effect of an editorial intervention to improve the completeness of reporting of randomised trials: a randomised controlled trial","volume":"10","author":[{"literal":"Blanco David"},{"literal":"Schroter Sara"},{"literal":"Aldcroft Adrian"},{"literal":"Moher David"},{"literal":"Boutron Isabelle"},{"literal":"Kirkham Jamie J"},{"literal":"Cobo Erik"}],"issued":{"date-parts":[["2020"]]}}},{"id":29721,"uris":["http://zotero.org/groups/4983756/items/5YLZNVLF"],"itemData":{"id":29721,"type":"article-journal","abstract":"Background and objective: Randomised controlled trial (RCT) abstracts published in journal articles have traditionally been deficient of crucial information. To improve the quality of RCT abstracts, in January 2008, the Consolidated Standards of Reporting Trial (CONSORT) group published a checklist of essential information for inclusion. The current study assessed whether there has been an improvement in the quality of RCT abstracts published in main anaesthesia journals since this new guideline was introduced. Method(s): Articles involving human RCTs published in four highprofile anaesthesia journals (Anaesthesia, Anesthesia &amp; Analgesia, Anesthesiology and the European Journal of Anaesthesiology) were reviewed, comparing those published from October 2005 to September 2006 (pre-CONSORT abstracts) with those published from October 2008 to September 2009 (post-CONSORT abstracts). Trials involving healthy volunteers or cadavers, cost-effectiveness studies, meta-analyses and letters were excluded. Abstracts from remaining RCTs were randomly assigned to four reviewers in a blinded fashion and reviewed for content using the new CONSORT checklist. Result(s): In total, 527 RCT abstracts (pre-CONSORT RCTs, n=275 and post-CONSORT RCTs, n=252) were analysed. The majority of abstracts in both groups provided an appropriate description of study interventions (73.1 and 73.8%, pre-CONSORT abstracts versus post-CONSORT abstracts, respectively), objective (91.3 and 90.1%) and conclusions (72.4 and 66.3%). From pre-CONSORT to post-CONSORT guidelines for abstract reporting, there were significant improvements in correctly identifying blinding (18.2-29%) and harmful effects (31.6-42.1%). The improvement in reporting the nature of the trial in abstract titles (20.1-29%) and primary outcome measure in the methods section (22.9-30.6%) did not reach significance. There was no clear improvement in the already poor reporting of trial design, participants, randomisation, recruitment, outcomes, trial registration and funding sources. Conclusion(s): Despite some promising improvements and interjournal differences, the overall quality of RCT abstracts and adherence to the CONSORT checklist for abstracts remains poor. © 2011 European Society of Anaesthesiology.","container-title":"European Journal of Anaesthesiology","DOI":"10.1097/eja.0b013e32833fb96f","ISSN":"0265-0215 1365-2346","page":"485-492","title":"Has the quality of abstracts for randomised controlled trials improved since the release of Consolidated Standards of Reporting Trial guideline for abstract reporting? A survey of four high-profile anaesthesia journals","volume":"28(7)","author":[{"literal":"Can O S"},{"literal":"Yilmaz A A"},{"literal":"Hasdogan M"},{"literal":"Alkaya F"},{"literal":"Turhan S C"},{"literal":"Can M F"},{"literal":"Alanoglu Z"}],"issued":{"date-parts":[["2011"]]}}},{"id":29643,"uris":["http://zotero.org/groups/4983756/items/JHK75BT3"],"itemData":{"id":29643,"type":"article-journal","abstract":"OBJECTIVES: To determine the prevalence of reporting guideline endorsement in pathology journals and to estimate the impact of guideline endorsement. METHODS: We compared the quality of reporting in two sets of studies: (1) studies published in journals that explicitly mentioned a guideline vs studies published in journals that did not and (2) studies that cited a guideline vs studies that did not. The quality of reporting in prognostic biomarker studies was assessed using the REporting recommendations for tumor MARKer prognostic studies (REMARK) guideline. RESULTS: We found that six (10%) of the 59 leading pathology journals explicitly mention reporting guidelines in the instructions to authors. Only one journal required authors to submit a checklist. There was significant variation in the rate at which various REMARK items were reported (P &lt; .001). Journal endorsement was associated with more complete reporting (P = .04). Studies that cited REMARK had greater adherence to the REMARK reporting guidelines than studies that did not (P = .02). CONCLUSIONS: The prevalence of guideline endorsement is relatively low in pathology journals, but guideline endorsement may improve the quality of reporting.","container-title":"American Journal of Clinical Pathology","DOI":"10.1093/ajcp/aqx080","ISSN":"1943-7722","issue":"4","page":"314-322","title":"A Survey of the Prevalence and Impact of Reporting Guideline Endorsement in Pathology Journals","volume":"148","author":[{"literal":"Caron J E"},{"literal":"March J K"},{"literal":"Cohen M B"},{"literal":"Schmidt R L"}],"issued":{"date-parts":[["2017"]]}}},{"id":29781,"uris":["http://zotero.org/groups/4983756/items/XAKY4JEP"],"itemData":{"id":29781,"type":"article-journal","abstract":"BACKGROUND: Abstracts are intended to be concise summaries of the entire randomised clinical trial (RCT). Despite their importance, few studies have examined the reporting quality of abstracts in the anaesthesiology literature. OBJECTIVES: To examine the quality of RCT abstract reporting according to the CONSORT for Abstracts guidelines and determine whether recommended items omitted from the abstract were present in the body of the article. DESIGN: A cross-sectional study of RCTs. SETTING: This study was performed at the University of Western Ontario and University Hospital, London Health Sciences Centre. PARTICIPANTS: All RCTs meeting inclusion criteria that were published in 2010 or 2016 in six general anaesthesiology journals (Anaesthesia, Anesthesia &amp; Analgesia, Anesthesiology, British Journal of Anaesthesia, Canadian Journal of Anesthesia and European Journal of Anaesthesiology). MAIN OUTCOME MEASURES: The 16 checklist items from the CONSORT for Abstracts statement were used to create a convenience score as a proxy for RCT abstract reporting quality, with each criterion measured as being reported in abstract, not reported in abstract but reported in full-text article, or not reported in abstract or full-text article. RESULTS: Of the 395 RCTs identified, 219 were published in 2010 and 176 were published in 2016. Out of the maximum possible score of 16, the median abstract score increased from 4 points [interquartile range (IQR): 3 to 5] in 2010 to 6 points [IQR: 5 to 8] in 2016. Although most checklist items showed improvement from 2010 to 2016, around 75% of RCTs in 2016 met fewer than half of the 16 items with no RCTs reporting all 16 items in the abstract. A majority of the RCTs had the information present in the full-text. In 2016, only 71 out of 176 (40%) of RCTs reported outcomes conforming to the CONSORT guidelines (with an effect size and a confidence interval around the effect size) in the Abstract. CONCLUSION: Abstracts for many anaesthesiology RCTs are incomplete selective summaries of the entire article.","container-title":"European Journal of Anaesthesiology","DOI":"10.1097/eja.0000000000000880","ISSN":"1365-2346","page":"942-948","title":"The degree of adherence to CONSORT reporting guidelines for the abstracts of randomised clinical trials published in anaesthesia journals: A cross-sectional study of reporting adherence in 2010 and 2016","author":[{"literal":"Chow J T. Y"},{"literal":"Turkstra T P"},{"literal":"Yim E"},{"literal":"Jones P M"}],"issued":{"date-parts":[["2018"]]}}},{"id":29747,"uris":["http://zotero.org/groups/4983756/items/59UAV68D"],"itemData":{"id":29747,"type":"article-journal","abstract":"Methodological reporting guidelines for studies of ERPs were updated in Psychophysiology in 2014. These guidelines facilitate the communication of key methodological parameters (e.g., preprocessing steps). Failing to report key parameters represents a barrier to replication efforts, and difficulty with replicability increases in the presence of small sample sizes and low statistical power. We assessed whether guidelines are followed and estimated the average sample size and power in recent research. Reporting behavior, sample sizes, and statistical designs were coded for 150 randomly sampled articles from five high-impact journals that frequently published ERP research from 2011 to 2017. An average of 63% of guidelines were reported, and reporting behavior was similar across journals, suggesting that gaps in reporting is a shortcoming of the field rather than any specific journal. Publication of the guidelines article had no impact on reporting behavior, suggesting that editors and peer reviewers are not enforcing these recommendations. The average sample size per group was 21. Statistical power was conservatively estimated as .72-.98 for a large effect size, .35-.73 for a medium effect, and .10-.18 for a small effect. These findings indicate that failing to report key guidelines is ubiquitous and that ERP studies are primarily powered to detect large effects. Such low power and insufficient following of reporting guidelines represent substantial barriers to replication efforts. The methodological transparency and replicability of studies can be improved by the open sharing of processing code and experimental tasks and by a priori sample size calculations to ensure adequately powered studies.","container-title":"Psychophysiology","DOI":"10.1111/psyp.13437","ISSN":"1540-5958","issue":"11","page":"e13437","title":"Methodological reporting behavior, sample sizes, and statistical power in studies of event-related potentials: Barriers to reproducibility and replicability","volume":"56","author":[{"literal":"Clayson P E"},{"literal":"Carbine K A"},{"literal":"Baldwin S A"},{"literal":"Larson M J"}],"issued":{"date-parts":[["2019"]]}}},{"id":29707,"uris":["http://zotero.org/groups/4983756/items/GPE7R87Z"],"itemData":{"id":29707,"type":"article-journal","abstract":"OBJECTIVE: To investigate the effect of an additional review based on reporting guidelines such as STROBE and CONSORT on quality of manuscripts. DESIGN: Masked randomised trial. Population Original research manuscripts submitted to the Medicina Clinica journal from May 2008 to April 2009 and considered suitable for publication. Intervention: CONTROL GROUP: conventional peer reviews alone. Intervention group: conventional review plus an additional review looking for missing items from reporting guidelines. Outcomes Manuscript quality, assessed with a 5 point Likert scale (primary: overall quality; secondary: average quality of specific items in paper). Main analysis compared groups as allocated, after adjustment for baseline factors (analysis of covariance); sensitivity analysis compared groups as reviewed. Adherence to reviewer suggestions assessed with Likert scale. RESULTS: Of 126 consecutive papers receiving conventional review, 34 were not suitable for publication. The remaining 92 papers were allocated to receive conventional reviews alone (n=41) or additional reviews (n=51). Four papers assigned to the conventional review group deviated from protocol; they received an additional review based on reporting guidelines. We saw an improvement in manuscript quality in favour of the additional review group (comparison as allocated, 0.25, 95% confidence interval -0.05 to 0.54; as reviewed, 0.33, 0.03 to 0.63). More papers with additional reviews than with conventional reviews alone improved from baseline (22 (43%) v eight (20%), difference 23.6% (3.2% to 44.0%), number needed to treat 4.2 (from 2.3 to 31.2), relative risk 2.21 (1.10 to 4.44)). Authors in the additional review group adhered more to suggestions from conventional reviews than to those from additional reviews (average increase 0.43 Likert points (0.19 to 0.67)). CONCLUSIONS: Additional reviews based on reporting guidelines improve manuscript quality, although the observed effect was smaller than hypothesised and not definitively demonstrated. Authors adhere more to suggestions from conventional reviews than to those from additional reviews, showing difficulties in adhering to high methodological standards at the latest research phases. To boost paper quality and impact, authors should be aware of future requirements of reporting guidelines at the very beginning of their study. Trial registration and protocol Although registries do not include trials of peer review, the protocol design was submitted to sponsored research projects (Instituto de Salud Carlos III, PI081903).","page":"d6783","title":"Effect of using reporting guidelines during peer review on quality of final manuscripts submitted to a biomedical journal: masked randomised trial","volume":"1","author":[{"literal":"Cobo E"},{"literal":"Cortes J"},{"literal":"Ribera J M"},{"literal":"Cardellach F"},{"literal":"Selva-O'Callaghan A"},{"literal":"Kostov B"},{"literal":"Garcia L"},{"literal":"Cirugeda L"},{"literal":"Altman D G"},{"literal":"Gonzalez J A"},{"literal":"Sanchez J A"},{"literal":"Miras F"},{"literal":"Urrutia A"},{"literal":"Fonollosa V"},{"literal":"Rey-Joly C"},{"literal":"Vilardell M"}],"issued":{"date-parts":[["2011"]]}}},{"id":29749,"uris":["http://zotero.org/groups/4983756/items/UEIESEJ4"],"itemData":{"id":29749,"type":"article-journal","abstract":"OBJECTIVES: The amyotrophic lateral sclerosis (ALS) research community was one of the first to adopt methodology guidelines to improve preclinical research reproducibility. We here present the results of a systematic review to investigate how the standards in this field changed over the 10-year period during which the guidelines were first published (2007) and updated (2010). METHODS: We searched for papers reporting ALS research on SOD1 (superoxide dismutase 1) mice published between 2005 and 2015 on the ISI Web of Science database, resulting in a sample of 569 papers to review, after triage. Two scores-one for methodological quality, one for regulatory compliance-were built from weighted sums of separate sets of items, and subjected to multivariable regression analysis, to assess how these related to publication year, type of study, country of origin and journal. RESULTS: Reporting standards improved over time. Of papers published after the first ALS guidelines were made public, fewer than 9% referred specifically to these. Of key research parameters, only three (genetic background, number of transgenes and group size) were reported in &gt;50% of the papers. Information on housing conditions, randomisation and blinding was absent in over two-thirds of the papers. Group size was among the best reported parameters, but the majority reported using fewer than the recommended sample size and only two studies clearly justified group size. CONCLUSIONS: General methodological standards improved gradually over a period of 8-10 years, but remained generally comparable with related fields with no specific guidelines, except with regard to severity. Only 11% of ALS studies were classified in the highest severity level (animals allowed to reach death or moribund stages), substantially below the proportion in studies of comparable neurodegenerative diseases such as Huntington's. The existence of field-specific guidelines, although a welcome indication of concern, seems insufficient to ensure adherence to high methodological standards. Other mechanisms may be required to improve methodological and welfare standards.","container-title":"BMJ Open Science","DOI":"10.1136/bmjos-2018-000016","ISSN":"2398-8703","issue":"1","page":"e000016","title":"Methodological standards, quality of reporting and regulatory compliance in animal research on amyotrophic lateral sclerosis: a systematic review","volume":"3","author":[{"literal":"Fernandes J G"},{"literal":"Franco N H"},{"literal":"Grierson A J"},{"literal":"Hultgren J"},{"literal":"Furley A J. W"},{"literal":"Olsson I A. S"}],"issued":{"date-parts":[["2019"]]}}},{"id":29731,"uris":["http://zotero.org/groups/4983756/items/MPKI2HWP"],"itemData":{"id":29731,"type":"article-journal","abstract":"Objectives. We assessed how the Transparent Reporting of Evaluations with Nonrandomized Designs (TREND) reporting guideline was used by authors and journal editors in journals' instructions to authors. We also evaluated its impact on reporting completeness and study quality. Methods. We extracted data from publications that cited TREND on how TREND was used in those reports; we also extracted information on journals' instructions to authors. We then undertook a case-control study of relevant publications to evaluate the impact of using TREND. Results. Between 2004 and 2013, TREND was cited 412 times, but it was only evidently applied to study reports 47 times. TREND was specifically mentioned 14 times in the sample of 61 instructions to authors. Some evidence suggested that use of TREND was associated with more comprehensive reporting and higher study quality ratings. Conclusions. TREND appeared to be underutilized by authors and journal editors despite its potential application and benefits. We found evidence that suggested that using TREND could contribute to more transparent and complete study reports. Even when authors reported using TREND, reporting completeness was still suboptimal. © 2014, American Public Health Association Inc. All rights reserved.","container-title":"American Journal of Public Health","DOI":"10.2105/ajph.2014.302195","ISSN":"00900036 (ISSN)","issue":"11","page":"e110-e117","title":"Impact of the transparent reporting of evaluations with nonrandomized designs reporting guideline: Ten years on","volume":"104","author":[{"literal":"Fuller T"},{"literal":"Peters J"},{"literal":"Pearson M"},{"literal":"Anderson R"}],"issued":{"date-parts":[["2014"]]}}},{"id":29789,"uris":["http://zotero.org/groups/4983756/items/FEQW5SU3"],"itemData":{"id":29789,"type":"article-journal","abstract":"Changes in statistical practices and reporting have been documented by Giofre et al. PLOS ONE 12(4), e0175583 (2017), who investigated ten statistical and open practices in two high-ranking journals (Psychological Science [PS] and Journal of Experimental Psychology-General [JEPG]): null hypothesis significance testing; confidence or credible intervals; meta-analysis of the results of multiple experiments; confidence interval interpretation; effect size interpretation; sample size determination; data exclusion; data availability; materials availability; and preregistered design and analysis plan. The investigation was based on an analysis of all papers published in these journals between 2013 and 2015. The aim of the present study was to follow up changes in both PS and JEPG in subsequent years, from 2016 to 2020, adding code availability as a further open practice. We found improvement in most practices, with some exceptions (i.e., confidence interval interpretation and meta-analysis). Despite these positive changes, our results indicate a need for further improvements in statistical practices and adoption of open practices.","container-title":"Behavior Research Methods","DOI":"10.3758/s13428-022-01993-3","ISSN":"1554-3528","page":"17","title":"The influence of journal submission guidelines on authors' reporting of statistics and use of open research practices: Five years later","volume":"17","author":[{"literal":"Giofre D"},{"literal":"Boedker I"},{"literal":"Cumming G"},{"literal":"Rivella C"},{"literal":"Tressoldi P"}],"issued":{"date-parts":[["2022"]]}}},{"id":29787,"uris":["http://zotero.org/groups/4983756/items/62NTD4RM"],"itemData":{"id":29787,"type":"article-journal","abstract":"From January 2014, Psychological Science introduced new submission guidelines that encouraged the use of effect sizes, estimation, and meta-analysis (the \"new statistics\"), required extra detail of methods, and offered badges for use of open science practices. We investigated the use of these practices in empirical articles published by Psychological Science and, for comparison, by the Journal of Experimental Psychology: General, during the period of January 2013 to December 2015. The use of null hypothesis significance testing (NHST) was extremely high at all times and in both journals. In Psychological Science, the use of confidence intervals increased markedly overall, from 28% of articles in 2013 to 70% in 2015, as did the availability of open data (3 to 39%) and open materials (7 to 31%). The other journal showed smaller or much smaller changes. Our findings suggest that journal-specific submission guidelines may encourage desirable changes in authors' practices.","container-title":"PLoS ONE [Electronic Resource]","DOI":"10.1371/journal.pone.0175583","ISSN":"1932-6203","issue":"4","page":"e0175583","title":"The influence of journal submission guidelines on authors' reporting of statistics and use of open research practices","volume":"12","author":[{"literal":"Giofre D"},{"literal":"Cumming G"},{"literal":"Fresc L"},{"literal":"Boedker I"},{"literal":"Tressoldi P"}],"issued":{"date-parts":[["2017"]]}}},{"id":29676,"uris":["http://zotero.org/groups/4983756/items/K4AYCCYV"],"itemData":{"id":29676,"type":"article-journal","abstract":"BACKGROUND: Discrepancies between pre-specified and reported outcomes are an important source of bias in trials. Despite legislation, guidelines and public commitments on correct reporting from journals, outcome misreporting continues to be prevalent. We aimed to document the extent of misreporting, establish whether it was possible to publish correction letters on all misreported trials as they were published, and monitor responses from editors and trialists to understand why outcome misreporting persists despite public commitments to address it. METHODS: We identified five high-impact journals endorsing Consolidated Standards of Reporting Trials (CONSORT) (New England Journal of Medicine, The Lancet, Journal of the American Medical Association, British Medical Journal, and Annals of Internal Medicine) and assessed all trials over a six-week period to identify every correctly and incorrectly reported outcome, comparing published reports against published protocols or registry entries, using CONSORT as the gold standard. A correction letter describing all discrepancies was submitted to the journal for all misreported trials, and detailed coding sheets were shared publicly. The proportion of letters published and delay to publication were assessed over 12 months of follow-up. Correspondence received from journals and authors was documented and themes were extracted. RESULTS: Sixty-seven trials were assessed in total. Outcome reporting was poor overall and there was wide variation between journals on pre-specified primary outcomes (mean 76% correctly reported, journal range 25-96%), secondary outcomes (mean 55%, range 31-72%), and number of undeclared additional outcomes per trial (mean 5.4, range 2.9-8.3). Fifty-eight trials had discrepancies requiring a correction letter (87%, journal range 67-100%). Twenty-three letters were published (40%) with extensive variation between journals (range 0-100%). Where letters were published, there were delays (median 99 days, range 0-257 days). Twenty-nine studies had a pre-trial protocol publicly available (43%, range 0-86%). Qualitative analysis demonstrated extensive misunderstandings among journal editors about correct outcome reporting and CONSORT. Some journals did not engage positively when provided correspondence that identified misreporting; we identified possible breaches of ethics and publishing guidelines. CONCLUSIONS: All five journals were listed as endorsing CONSORT, but all exhibited extensive breaches of this guidance, and most rejected correction letters documenting shortcomings. Readers are likely to be misled by this discrepancy. We discuss the advantages of prospective methodology research sharing all data openly and pro-actively in real time as feedback on critiqued studies. This is the first empirical study of major academic journals' willingness to publish a cohort of comparable and objective correction letters on misreported high-impact studies. Suggested improvements include changes to correspondence processes at journals, alternatives for indexed post-publication peer review, changes to CONSORT's mechanisms for enforcement, and novel strategies for research on methods and reporting.","container-title":"Trials [Electronic Resource]","DOI":"10.1186/s13063-019-3173-2","ISSN":"1745-6215","issue":"1","page":"118","title":"COMPare: a prospective cohort study correcting and monitoring 58 misreported trials in real time","volume":"20","author":[{"literal":"Goldacre B"},{"literal":"Drysdale H"},{"literal":"Dale A"},{"literal":"Milosevic I"},{"literal":"Slade E"},{"literal":"Hartley P"},{"literal":"Marston C"},{"literal":"Powell-Smith A"},{"literal":"Heneghan C"},{"literal":"Mahtani K R"}],"issued":{"date-parts":[["2019"]]}}},{"id":29705,"uris":["http://zotero.org/groups/4983756/items/PLJ552U2"],"itemData":{"id":29705,"type":"article-journal","abstract":"Objective: To investigate the effect of the CONSORT for Abstracts guidelines, and different editorial policies used by five leading general medical journals to implement the guidelines, on the reporting quality of abstracts of randomised trials. Design(s): Interrupted time series analysis. Sample: We randomly selected up to 60 primary reports of randomised trials per journal per year from five high impact, general medical journals in 2006-09, if indexed in PubMed with an electronic abstract. We excluded reports that did not include an electronic abstract, and any secondary trial publications or economic analyses. We classified journals in three categories: those not mentioning the guidelines in their instructions to authors (JAMA and New England Journal of Medicine), those referring to the guidelines in their instructions to authors but with no specific policy to implement them (BMJ), and those referring to the guidelines in their instructions to authors with an active policy to implement them (Annals of Internal Medicine and Lancet). Two authors extracted data independently using the CONSORT for Abstracts checklist. Main outcome: Mean number of CONSORT items reported in selected abstracts, among nine items reported in fewer than 50% of the abstracts published across the five journals in 2006. Result(s): We assessed 955 reports of abstracts of randomised trials. Journals with an active policy to enforce the guidelines showed an immediate increase in the level of mean number of items reported (increase of 1.50 items; P=0.0037). At 23 months after publication of the guidelines, the mean number of items reported per abstract for the primary outcome was 5.41 of nine items, a 53% increase compared with the expected level estimated on the basis of pre-intervention trends. The change in level or trend did not increase in journals with no policy to enforce the guidelines (BMJ, JAMA, and New England Journal of Medicine). Conclusion(s): Active implementation of the CONSORT for Abstracts guidelines by journals can lead to improvements in the reporting of abstracts of randomised trials.","container-title":"BMJ (Online)","DOI":"10.1136/bmj.e4178","ISSN":"1756-1833 (electronic) 1756-1833","page":"e4178","title":"Effect of editors' implementation of CONSORT guidelines on the reporting of abstracts in high impact medical journals: Interrupted time series analysis","volume":"345(7864) (no pagination)","author":[{"literal":"Hopewell S"},{"literal":"Ravaud P"},{"literal":"Baron G"},{"literal":"Boutron I"}],"issued":{"date-parts":[["2012"]]}}},{"id":29725,"uris":["http://zotero.org/groups/4983756/items/97FR4IP8"],"itemData":{"id":29725,"type":"article-journal","abstract":"The CONSORT Statement is an evidence-informed guideline for reporting randomised controlled trials. A number of extensions have been developed that specify additional information to report for more complex trials. The aim of this study was to evaluate the impact of using a simple web-based tool (WebCONSORT, which incorporates a number of different CONSORT extensions) on the completeness of reporting of randomised trials published in biomedical publications.","container-title":"BMC Medicine","DOI":"10.1186/s12916-016-0736-x","ISSN":"1741-7015","issue":"1","page":"199","title":"Impact of a web-based tool (WebCONSORT) to improve the reporting of randomised trials: results of a randomised controlled trial","volume":"14","author":[{"literal":"Hopewell Sally"},{"literal":"Boutron Isabelle"},{"literal":"Altman Douglas G"},{"literal":"Barbour Ginny"},{"literal":"Moher David"},{"literal":"Montori Victor"},{"literal":"Schriger David"},{"literal":"Cook Jonathan"},{"literal":"Gerry Stephen"},{"literal":"Omar Omar"},{"literal":"Dutton Peter"},{"literal":"Roberts Corran"},{"literal":"Frangou Eleni"},{"literal":"Clifton Lei"},{"literal":"Chiocchia Virginia"},{"literal":"Rombach Ines"},{"literal":"Wartolowska Karolina"},{"literal":"Ravaud Philippe"}],"issued":{"date-parts":[["2016"]]}}},{"id":29783,"uris":["http://zotero.org/groups/4983756/items/R7I5CAYC"],"itemData":{"id":29783,"type":"article-journal","abstract":"Background: The SQUIRE (Standards of QUality Improvement Reporting Excellence) guidelines were developed to improve the reporting of quality improvement (QI) projects. The effect of the guidelines on the completeness of reporting in the QI literature is unknown. Objective(s): Our primary objective was to determine if the completeness of reporting in the QI literature has been improved[OUP-CE13] since the introduction of the SQUIRE guidelines. Method(s): We performed a before-and-after evaluation of QI articles selected from four prominent journals of healthcare quality. Twentyfive articles published in each of two time periods (2006-2008 and 2010-2011) were confirmed to be QI projects using a standardised definition and were independently evaluated by two investigators as an interim evaluation of a planned larger sample. Articles were assessed using 50 statements of the SQUIRE guidelines, and the overall change in the completeness of reporting between the two groups was determined. The value of p&lt;0.05 was considered significant. Result(s): Both groups were similar in characteristics. There was no significant difference in the mean (SD) number of SQUIRE statements completed by authors before and after publication of the SQUIRE guidelines, 20.2 (5.0) versus 20.4 (7.0), p=0.9. The study was stopped early due to the absence of any significant trend in the completeness of reporting. Discussion(s): There was no overall improvement observed in the completeness of reporting of QI projects after the publication of the SQUIRE guidelines, and the study was stopped early. There is potential for improvement in reporting standards, particularly for those guideline items or statements specific to QI projects.","container-title":"BMJ Quality and Safety","DOI":"10.1136/bmjqs-2014-003737","ISSN":"2044-5415","page":"400-406","title":"The effect of the SQUIRE (Standards of QUality Improvement Reporting Excellence) guidelines on reporting standards in the quality Improvement literature: A before-and-after study","volume":"24(6)","author":[{"literal":"Howell V"},{"literal":"Schwartz A E"},{"literal":"O'Leary J D"},{"literal":"McDonnell C"}],"issued":{"date-parts":[["2015"]]}}},{"id":29649,"uris":["http://zotero.org/groups/4983756/items/74N96CIV"],"itemData":{"id":29649,"type":"article-journal","container-title":"Journal of Evidence-based Medicine","DOI":"10.1111/jebm.12533","ISSN":"1756-5391","issue":"2","page":"116-119","title":"An evaluation of reporting guidelines and Clinical Trial Registry requirements among anesthesiology journals","volume":"16","author":[{"literal":"Ladd C"},{"literal":"Greenough M C"},{"literal":"Reddy A K"},{"literal":"Garrett E"},{"literal":"Peterson A"},{"literal":"Pierce A"},{"literal":"Wenger D"},{"literal":"Moore M"},{"literal":"Vassar M"}],"issued":{"date-parts":[["2023"]]}}},{"id":29733,"uris":["http://zotero.org/groups/4983756/items/K4XP4RS8"],"itemData":{"id":29733,"type":"article-journal","abstract":"PURPOSE: Research papers involving animal studies often display poor reporting standards, leading to lower study reproducibility. We aim to determine the difference in reporting animal studies regarding abdominal wall hernia repair with mesh placement, before and after the publication of ARRIVE-2010 (Animal Research: Reporting of In Vivo Experiments) guidelines. Furthermore, we aim to present the most up-to-date reporting quality using the updated ARRIVE-2020 as criteria. METHODS: All animal studies concerning hernia repair with meshes were systematically searched. Articles published in the 5 years leading up to the ARRIVE-2010 (pre-ARRIVE) and articles within the last 5 years until the updated ARRIVE 2.0 (post-ARRIVE) were compared for overall species and specific species separately. Articles published last year were evaluated for presenting fully reported (sub)items. RESULTS: The number of fully reported (sub)items per article was on average significantly higher for pre-ARRIVE than post-ARRIVE for overall species (mean (SD) = 14.0 (2.8) vs. 12.6 (2.5), P &lt; 0.001). The same applies to rabbit (mean (SD) = 14.8 (2.6) vs. 12.6 (2.6), P = 0.001) and pig studies (mean (SD) = 14.5 (2.7) vs. 11.6 (2.6), P = 0.004), with no significance in rat studies (mean (SD) = 13.6 (2.9) vs. 12.9 (2.3), P = 0.076). Significance was found in several (sub)items between pre-ARRIVE and post-ARRIVE (n = 7, 3, 8, and 3 for overall species, rat, rabbit, and pig studies, respectively). CONCLUSION: General reporting quality of animal experiments has been improved markedly by ARRIVE guidelines. However, more improvements are required considering the arrival of ARRIVE 2.0 guidelines.","container-title":"Hernia","DOI":"10.1007/s10029-020-02351-y","ISSN":"1248-9204","issue":"2","page":"389-400","title":"Inadequate awareness of adherence to ARRIVE guidelines, regarding reporting quality of hernia models repaired with meshes: a systematic review","volume":"26","author":[{"literal":"Liu H"},{"literal":"Gielen Mjcam"},{"literal":"Bosmans Jwam"},{"literal":"Winkens B"},{"literal":"Bouvy N D"}],"issued":{"date-parts":[["2022"]]}}},{"id":29785,"uris":["http://zotero.org/groups/4983756/items/2ZCX4YYZ"],"itemData":{"id":29785,"type":"article-journal","abstract":"BACKGROUND: Systematic reviews (SRs) are cornerstones of evidence-based medicine and have contributed significantly to breakthroughs since the 1980's. However, preclinical SRs remain relatively rare despite their many advantages. Since 2011 the Dutch health funding organisation (ZonMw) has run a grant scheme dedicated to promoting the training, coaching and conduct of preclinical SRs. Our study focuses on this funding scheme to investigate the relevance, effects and benefits of conducting preclinical SRs on researchers and their research. METHODS: We recruited researchers who attended funded preclinical SR workshops and who conducted, are still conducting, or prematurely stopped a SR with funded coaching. We gathered data using online questionnaires followed by semi-structured interviews. Both aimed to explore the impact of conducting a SR on researchers' subsequent work, attitudes, and views about their research field. Data-analysis was performed using Excel and ATLAS.ti. RESULTS: Conducting preclinical SRs had two distinct types of impact. First, the researchers acquired new skills and insights, leading to a change in mindset regarding the quality of animal research. This was mainly seen in the way participants planned, conducted and reported their subsequent animal studies, which were more transparent and of a higher quality than their previous work. Second, participants were eager to share their newly acquired knowledge within their laboratories and to advocate for change within their research teams and fields of interest. In particular, they emphasised the need for preclinical SRs and improved experimental design within preclinical research, promoting these through education and published opinion papers. CONCLUSION: Being trained and coached in the conduct of preclinical SRs appears to be a contributing factor to many beneficial changes which will impact the quality of preclinical research in the long-term. Our findings suggest that this ZonMw funding scheme is helpful in improving the quality and transparency of preclinical research. Similar funding schemes should be encouraged, preferably by a broader group of funders or financers, in the future.","container-title":"PLoS ONE [Electronic Resource]","DOI":"10.1371/journal.pone.0260619","ISSN":"1932-6203","issue":"12","page":"e0260619","title":"The impact of conducting preclinical systematic reviews on researchers and their research: A mixed method case study","volume":"16","author":[{"literal":"Menon J M. L"},{"literal":"Ritskes-Hoitinga M"},{"literal":"Pound P"},{"literal":"van Oort E"}],"issued":{"date-parts":[["2021"]]}}},{"id":29668,"uris":["http://zotero.org/groups/4983756/items/YNLBA3NU"],"itemData":{"id":29668,"type":"article-journal","abstract":"A substantial fraction of biomedical research depends on the reliability of human biospecimens but variations in sample manipulation during collection, processing, and storage can differentially alter molecular integrity and influence interpretation of the resulting derived data. Details of biobanking processes are rarely adequately described in research publications, preventing reviewers, readers, and scientists seeking to replicate the findings, from appreciating and adequately considering preanalytical variations contributing to results. To address these shortcomings, a set of reporting guidelines, the Biospecimen Reporting for Improved Study Quality (BRISQ) criteria, were developed in 2011. In this study we evaluated the uptake and reporting of BRISQ criteria in 324 articles across four leading biomedical journals using human biospecimens and published before (161; in 2010) and after (163; in 2014) the delineation of the BRISQ guidelines. We found that even within journals recommending use of BRISQ, manuscript-level uptake. and reporting of the relevant biospecimen information is not widespread or uniform. In the future, an enhanced biospecimen reporting strategy to better serve the needs of researchers, reviewers, and journals may be considered to strengthen research reproducibility for the benefit of the research community at large.","container-title":"Biopreservation and Biobanking","DOI":"10.1089/bio.2018.0143","ISSN":"1947-5543","issue":"4","page":"326-333","title":"Biospecimen Data Reporting in the Research Literature","volume":"17","author":[{"literal":"Meredith A J"},{"literal":"Simeon-Dubach D"},{"literal":"Matzke L A"},{"literal":"Cheah S"},{"literal":"Watson P H"}],"issued":{"date-parts":[["2019"]]}}},{"id":29672,"uris":["http://zotero.org/groups/4983756/items/J8B7PAMC"],"itemData":{"id":29672,"type":"article-journal","abstract":"Objectives: To examine changes in completeness of reporting and frequency of sharing data, analytical code, and other review materials in systematic reviews over time; and factors associated with these changes. Design: Cross sectional meta-research study. Population: Random sample of 300 systematic reviews with meta-analysis of aggregate data on the effects of a health, social, behavioural, or educational intervention. Reviews were indexed in PubMed, Science Citation Index, Social Sciences Citation Index, Scopus, and Education Collection in November 2020. Main outcome measures: The extent of complete reporting and the frequency of sharing review materials in the systematic reviews indexed in 2020 were compared with 110 systematic reviews indexed in February 2014. Associations between completeness of reporting and various factors (eg, self-reported use of reporting guidelines, journal policies on data sharing) were examined by calculating risk ratios and 95% confidence intervals. Results: Several items were reported suboptimally among 300 systematic reviews from 2020, such as a registration record for the review (n=113; 38%), a full search strategy for at least one database (n=214; 71%), methods used to assess risk of bias (n=185; 62%), methods used to prepare data for meta-analysis (n=101; 34%), and source of funding for the review (n=215; 72%). Only a few items not already reported at a high frequency in 2014 were reported more frequently in 2020. No evidence indicated that reviews using a reporting guideline were more completely reported than reviews not using a guideline. Reviews published in 2020 in journals that mandated either data sharing or inclusion of data availability statements were more likely to share their review materials (eg, data, code files) than reviews in journals without such mandates (16/87 (18%) v 4/213 (2%)). Conclusion: Incomplete reporting of several recommended items for systematic reviews persists, even in reviews that claim to have followed a reporting guideline. Journal policies on data sharing might encourage sharing of review materials. © 2022 Author(s). Published by BMJ.","container-title":"BMJ","DOI":"10.1136/bmj-2022-072428","ISSN":"09598146 (ISSN)","page":"e072428","title":"Changing patterns in reporting and sharing of review data in systematic reviews with meta-analysis of the effects of interventions: Cross sectional meta-research study","author":[{"literal":"Nguyen P Y"},{"literal":"Kanukula R"},{"literal":"McKenzie J E"},{"literal":"Alqaidoom Z"},{"literal":"Brennan S E"},{"literal":"Haddaway N R"},{"literal":"Hamilton D G"},{"literal":"Karunananthan S"},{"literal":"McDonald S"},{"literal":"Moher D"},{"literal":"Nakagawa S"},{"literal":"Nunan D"},{"literal":"Tugwell P"},{"literal":"Welch V A"},{"literal":"Page M J"}],"issued":{"date-parts":[["2022"]]}}},{"id":29739,"uris":["http://zotero.org/groups/4983756/items/8KMMHIEL"],"itemData":{"id":29739,"type":"article-journal","abstract":"BACKGROUND: Randomised controlled trials (RCTs) provide the highest-level of evidence among primary research in cardiovascular medicine. Yet, even the best trial may be less useful if it fails to provide an accurate means of reproducibility. Unfortunately, discrepancies in the standards of trial reporting have been persistent in previous trials. The Template for Intervention Description and Replication (TIDieR) checklist aims to improve research efficacy by setting standards for quality intervention reporting and reproducibility. The goal of this study was to assess adherence to the TIDieR checklist among RCTs published in cardiovascular health journals. We also compared the quality of intervention reporting before and after the publication of TIDieR. METHODS: This cross-sectional, methodological study analysed 101 trials published within high-impact cardiology journals. Our primary objective was to assess overall adherence to the TIDieR checklist. Our secondary objective was to use an interrupted time-series analysis to determine if intervention reporting increased following the publication of TIDieR in March 2014. Additionally, we used generalised estimating equations to identify trial characteristics associated with intervention reporting. RESULTS: Trials in our sample reported 8.6/12 TIDieR checklist items, on average. The most under-reported items were those for describing the expertise of the interventionists and for describing the location of the intervention. CONCLUSION: Improved outcome reporting and intervention reproducibility among RCTs are greatly needed in cardiovascular medicine. Clinicians and researchers should advocate for the ethical publication of complete, translatable and replicable clinical research results.","container-title":"BMJ Evidence-based Medicine","DOI":"10.1136/bmjebm-2019-111309","ISSN":"2515-4478","issue":"3","page":"91-97","title":"Intervention reporting of clinical trials published in high-impact cardiology journals: effect of the TIDieR checklist and guide","volume":"26","author":[{"literal":"Palmer W"},{"literal":"Okonya O"},{"literal":"Jellison S"},{"literal":"Horn J"},{"literal":"Harter Z"},{"literal":"Wilkett M"},{"literal":"Vassar M"}],"issued":{"date-parts":[["2021"]]}}},{"id":29678,"uris":["http://zotero.org/groups/4983756/items/DYARQ4ID"],"itemData":{"id":29678,"type":"article-journal","abstract":"BACKGROUND: We evaluated the completeness of reporting of diagnostic test accuracy (DTA) systematic reviews using the recently developed Preferred Reporting Items for Systematic Reviews and MetaAnalyses (PRISMA)-DTA guidelines. METHODS: MEDLINE&lt;sup&gt; R&lt;/sup&gt; was searched for DTA systematic reviews published October 2017 to January 2018. The search time span was modulated to reach the desired sample size of 100 systematic reviews. Reporting on a per-item basis using PRISMA-DTA was evaluated. RESULTS: One hundred reviews were included. Mean reported items were 18.6 of 26 (71%; SD = 1.9) for PRISMA-DTA and 5.5 of 11 (50%; SD = 1.2) for PRISMA-DTA for abstracts. Items in the results were frequently reported. Items related to protocol registration, characteristics of included studies, results synthesis, and definitions used in data extraction were infrequently reported. Infrequently reported items from PRISMA-DTA for abstracts included funding information, strengths and limitations, characteristics of included studies, and assessment of applicability. Reporting completeness was higher in higher impact factor journals (18.9 vs 18.1 items; P = 0.04), studies that cited PRISMA (18.9 vs 17.7 items; P = 0.003), or used supplementary material (19.1 vs 18.0 items; P = 0.004). Variability in reporting was associated with author country (P = 0.04) but not journal (P = 0.6), abstract word count limitations (P = 0.9), PRISMA adoption (P = 0.2), structured abstracts (P = 0.2), study design (P = 0.8), subspecialty area (P = 0.09), or index test (P = 0.5). Abstracts with a higher word count were more informative (R = 0.4; P &lt; 0.001). No association with word counts was observed for full-text reports (R = -0.03; P = 0.06). CONCLUSIONS: Recently published reports of DTA systematic reviews are not fully informative when evaluated against the PRISMA-DTA guidelines. These results should guide knowledge translation strategies, including journal level (e.g., PRISMA-DTA adoption, increased abstract word count, and use of supplementary material) and author level (PRISMA-DTA citation awareness) strategies.","container-title":"Clinical Chemistry","DOI":"10.1373/clinchem.2018.292987","ISSN":"1530-8561","issue":"2","page":"291-301","title":"Completeness of Reporting of Systematic Reviews of Diagnostic Test Accuracy Based on the PRISMA-DTA Reporting Guideline","volume":"65","author":[{"literal":"Salameh J P"},{"literal":"McInnes M D. F"},{"literal":"Moher D"},{"literal":"Thombs B D"},{"literal":"McGrath T A"},{"literal":"Frank R"},{"literal":"Dehmoobad Sharifabadi"},{"literal":"A"},{"literal":"Kraaijpoel N"},{"literal":"Levis B"},{"literal":"Bossuyt P M"}],"issued":{"date-parts":[["2019"]]}}},{"id":29797,"uris":["http://zotero.org/groups/4983756/items/AISTSREM"],"itemData":{"id":29797,"type":"article-journal","abstract":"OBJECTIVE: This study investigated the policies of cardiac and cardiovascular system journals concerning clinical trial registration and guideline adoption to understand how frequently journals use these mechanisms to improve transparency, trial reporting and overall study quality. METHODS: We selected the top 20 (by impact factor) journals cited in the subcategory 'Cardiac and Cardiovascular Systems' of the Expanded Science Citation Index of the 2014 Journal Citation Reports to extract journal policies concerning the 17 guidelines we identified. In addition, trial and systematic review registration adherence statements were extracted. 300 randomised controlled trials published in 2016 in the top 20 journals were searched for clinical trial registry numbers and CONSORT diagrams. RESULTS: Of the 19 cardiac and cardiovascular system journals included in our analysis, eight journals (42%) did not require or recommend trial or review registration. Seven (37%) did not recommend or require a single guideline within their instructions to authors. Consolidated Standards for Reporting Trials guidelines (10/19, 53%) were recommended or required most often. Of the trials surveyed, 122/285 (42.8%) published a CONSORT diagram in their manuscript, while 236/292 (80.8%) published a trial registry number. DISCUSSION: Cardiac and cardiovascular system journals infrequently require, recommend or enforce the use of reporting guidelines. Furthermore, too few require or enforce the use of clinical trial registration. Cardiology journal editors should consider guideline adoption due to their potential to limit bias and increase transparency.","container-title":"Heart","DOI":"10.1136/heartjnl-2017-312165","ISSN":"1468-201X","issue":"9","page":"753-759","title":"Trial registration and adherence to reporting guidelines in cardiovascular journals","volume":"104","author":[{"literal":"Sims M T"},{"literal":"Bowers A M"},{"literal":"Fernan J M"},{"literal":"Dormire K D"},{"literal":"Herrington J M"},{"literal":"Vassar M"}],"issued":{"date-parts":[["2018"]]}},"label":"page"},{"id":29765,"uris":["http://zotero.org/groups/4983756/items/S4XWHTJX"],"itemData":{"id":29765,"type":"article-journal","abstract":"Importance: Numerous studies have shown that adherence to reporting guidelines is suboptimal. Objective: To evaluate whether asking peer reviewers to check if specific reporting guideline items were adequately reported would improve adherence to reporting guidelines in published articles. Design, Setting, and Participants: Two parallel-group, superiority randomized trials were performed using manuscripts submitted to 7 biomedical journals (5 from the BMJ Publishing Group and 2 from the Public Library of Science) as the unit of randomization, with peer reviewers allocated to the intervention or control group. Interventions: The first trial (CONSORT-PR) focused on manuscripts that presented randomized clinical trial (RCT) results and reported following the Consolidated Standards of Reporting Trials (CONSORT) guideline, and the second trial (SPIRIT-PR) focused on manuscripts that presented RCT protocols and reported following the Standard Protocol Items: Recommendations for Interventional Trials (SPIRIT) guideline. The CONSORT-PR trial included manuscripts that described RCT primary results (submitted July 2019 to July 2021). The SPIRIT-PR trial included manuscripts that contained RCT protocols (submitted June 2020 to May 2021). Manuscripts in both trials were randomized (1:1) to the intervention or control group; the control group received usual journal practice. In the intervention group of both trials, peer reviewers received an email from the journal that asked them to check whether the 10 most important and poorly reported CONSORT (for CONSORT-PR) or SPIRIT (for SPIRIT-PR) items were adequately reported in the manuscript. Peer reviewers and authors were not informed of the purpose of the study, and outcome assessors were blinded. Main Outcomes and Measures: The difference in the mean proportion of adequately reported 10 CONSORT or SPIRIT items between the intervention and control groups in published articles. Results: In the CONSORT-PR trial, 510 manuscripts were randomized. Of those, 243 were published (122 in the intervention group and 121 in the control group). A mean proportion of 69.3% (95% CI, 66.0%-72.7%) of the 10 CONSORT items were adequately reported in the intervention group and 66.6% (95% CI, 62.5%-70.7%) in the control group (mean difference, 2.7%; 95% CI, -2.6% to 8.0%). In the SPIRIT-PR trial, of the 244 randomized manuscripts, 178 were published (90 in the intervention group and 88 in the control group). A mean proportion of 46.1% (95% CI, 41.8%-50.4%) of the 10 SPIRIT items were adequately reported in the intervention group and 45.6% (95% CI, 41.7% to 49.4%) in the control group (mean difference, 0.5%; 95% CI, -5.2% to 6.3%). Conclusions and Relevance: These 2 randomized trials found that it was not useful to implement the tested intervention to increase reporting completeness in published articles. Other interventions should be assessed and considered in the future. Trial Registration: ClinicalTrials.gov Identifiers: NCT05820971 (CONSORT-PR) and NCT05820984 (SPIRIT-PR).","container-title":"JAMA Network Open","DOI":"10.1001/jamanetworkopen.2023.17651","ISSN":"2574-3805","issue":"6","page":"e2317651","title":"Reminding Peer Reviewers of Reporting Guideline Items to Improve Completeness in Published Articles: Primary Results of 2 Randomized Trials","volume":"6","author":[{"literal":"Speich B"},{"literal":"Mann E"},{"literal":"Schonenberger C M"},{"literal":"Mellor K"},{"literal":"Griessbach A N"},{"literal":"Dhiman P"},{"literal":"Gandhi P"},{"literal":"Lohner S"},{"literal":"Agarwal A"},{"literal":"Odutayo A"},{"literal":"Puebla I"},{"literal":"Clark A"},{"literal":"Chan A W"},{"literal":"Schlussel M M"},{"literal":"Ravaud P"},{"literal":"Moher D"},{"literal":"Briel M"},{"literal":"Boutron I"},{"literal":"Schroter S"},{"literal":"Hopewell S"}],"issued":{"date-parts":[["2023"]]}}},{"id":29717,"uris":["http://zotero.org/groups/4983756/items/H39E3DNR"],"itemData":{"id":29717,"type":"article-journal","abstract":"Background: Th EQUATOR Network improves the quality and transparency in health research, primarily by promoting awareness and use of reporting guidelines. In 2018, the UK EQUATOR Centre launched GoodReports.org, a website that helps authors find and use reporting guidelines. This paper describes the tool’s development so far. We describe user experience and behaviour of using GoodReports.org both inside and outside a journal manuscript submission process. We intend to use our findings to inform future development and testing of the tool. Methods: We conducted a survey to collect data on user experience of the GoodReports website. We cross-checked a random sample of 100 manuscripts submitted to a partner journal to describe the level of agreement between the tool’s checklist recommendation and what we would have recommended. We compared the proportion of authors submitting a completed reporting checklist alongside their manuscripts between groups exposed or not exposed to the GoodReports tool. We also conducted a study comparing completeness of reporting of manuscript text before an author received a reporting guideline recommendation from GoodReports.org with the completeness of the text subsequently submitted to a partner journal. Results: Seventy percent (423/599) of survey respondents rated GoodReports 8 or more out of 10 for usefulness, and 74% (198/267) said they had made changes to their manuscript after using the website. We agreed with the GoodReports reporting guideline recommendation in 84% (72/86) of cases. Of authors who completed the guideline finder questionnaire, 14% (10/69) failed to submit a completed checklist compared to 30% (41/136) who did not use the tool. Of the 69 authors who received a GoodReports reporting guideline recommendation, 20 manuscript pairs could be reviewed before and after use of GoodReports. Five included more information in their methods section after exposure to GoodReports. On average, authors reported 57% of necessary reporting items before completing a checklist on GoodReports.org and 60% after. Conclusion: The data suggest that reporting guidance is needed early in the writing process, not at submission stage. We are developing GoodReports by adding more reporting guidelines and by creating editable article templates. We will test whether GoodReports users write more complete study reports in a randomised trial targeting researchers starting to write health research articles. © 2021, The Author(s).","container-title":"BMC Medical Research Methodology","DOI":"10.1186/s12874-021-01402-x","ISSN":"14712288 (ISSN)","issue":"1","page":"217","title":"GoodReports: developing a website to help health researchers find and use reporting guidelines","volume":"21","author":[{"literal":"Struthers C"},{"literal":"Harwood J"},{"literal":"de Beyer J A"},{"literal":"Dhiman P"},{"literal":"Logullo P"},{"literal":"Schlüssel M"}],"issued":{"date-parts":[["2021"]]}}},{"id":29775,"uris":["http://zotero.org/groups/4983756/items/9GZ7HXIR"],"itemData":{"id":29775,"type":"article-journal","abstract":"Study preregistration promotes transparency in scientific research by making a clear distinction between a priori and post hoc procedures or analyses. Management and applied psychology have not embraced preregistration in the way other closely related social science fields have. There may be concerns that preregistration does not add value and prevents exploratory data analyses. Using a mixed-method approach, in Study 1, we compared published preregistered samples against published non-preregistered samples. We found that preregistration effectively facilitated more transparent reporting based on criteria (i.e., confirmed hypotheses and a priori analysis plans). Moreover, consistent with concerns that the published literature contains elevated type I error rates, preregistered samples had fewer statistically significant results (48%) than non-preregistered samples (66%). To learn about the perceived advantages, disadvantages, and misconceptions of study preregistration, in Study 2, we surveyed authors of preregistered studies and authors who had never preregistered a study. Participants in both samples had positive inclinations towards preregistration yet expressed concerns about the process. We conclude with a review of best practices for management and applied psychology stakeholders. © 2020, Springer Science+Business Media, LLC, part of Springer Nature.","container-title":"Journal of Business and Psychology","DOI":"10.1007/s10869-020-09695-3","ISSN":"08893268 (ISSN)","issue":"4","page":"553-571","title":"Study Preregistration: An Evaluation of a Method for Transparent Reporting","volume":"36","author":[{"literal":"Toth A A"},{"literal":"Banks G C"},{"literal":"Mellor D"},{"literal":"O’Boyle E H"},{"literal":"Dickson A"},{"literal":"Davis D J"},{"literal":"DeHaven A"},{"literal":"Bochantin J"},{"literal":"Borns J"}],"issued":{"date-parts":[["2021"]]}}},{"id":29656,"uris":["http://zotero.org/groups/4983756/items/LETLXS37"],"itemData":{"id":29656,"type":"article-journal","abstract":"Background/purpose: Properly designed randomized controlled trials (RCTs) are the gold standard in patient-centered clinical research. Incomplete intervention reporting affects the readers' ability to evaluate treatment efficacy. Previous studies show that detailed descriptions of trial interventions remains insufficient for reliable replication. Understanding reporting areas in need of improvement can improve the quality of intervention reporting. Methods: This cross-sectional review uses the Template for Intervention Description and Replication (TIDieR) checklist to evaluate the quality of intervention reporting in RCTs. The primary outcome was to investigate the completeness of intervention reporting of RCTs reporting outcomes for patients with alcohol use disorder (AUD) published in highly ranked addiction journals. The secondary outcomes were to: 1) evaluate whether publication of the TIDieR checklist resulted in better intervention reporting practices and 2) determine whether particular trial characteristics were associated with the completeness of intervention reporting. Results: The final analysis included 56 records. The mean number of reported TIDieR items was 5.1 (SD = 1.47) of a possible 12. TIDieR checklist publication did not increase the average completion of the TIDieR checklist items (p = 0.76). Improved TIDieR adherence was associated with trials with double blinding, non-drug interventions, and CONSORT endorsement. Discussion/conclusions: We found the reporting of interventions to be inadequate in our sample of AUD-related RCTs. Fundamental details were often not reported, hampering both clinical and research reproducibility. Moving forward, it may be necessary to consider additional mechanisms to either improve TIDieR uptake or to find other solutions to improve intervention reporting. © 2019 Elsevier B.V.","container-title":"Drug and Alcohol Dependence","DOI":"10.1016/j.drugalcdep.2019.107824","ISSN":"03768716 (ISSN)","page":"107824","title":"Assessment of the completeness of intervention reporting of randomized clinical trials for alcohol use disorders: Effect of the TIDieR checklist and guide","volume":"208","author":[{"literal":"Vassar M"},{"literal":"Pollard J"},{"literal":"Rorah D"},{"literal":"Jellison S"},{"literal":"Harter Z J"},{"literal":"Brasseux S"}],"issued":{"date-parts":[["2020"]]}}},{"id":29702,"uris":["http://zotero.org/groups/4983756/items/Z25DX3F6"],"itemData":{"id":29702,"type":"article-journal","abstract":"BACKGROUND: The Preferred Reporting Items for Systematic Reviews and Meta-Analyses (PRISMA) extension statement for network meta-analysis (NMA) published in 2015 promotes comprehensive reporting in published systematic reviews with NMA. PRISMA-NMA includes 32 items: 27 core items as indicated in the 2009 PRISMA Statement and five items specific to the reporting of NMAs. Although NMA reporting is improving, it is unclear whether PRISMA-NMA has accelerated this improvement. We aimed to investigate the impact of PRISMA-NMA and highlight key items that require attention and improvement. METHODS: We updated our previous collection of NMAs with articles published between April 2015 and July 2018. We assessed the completeness of reporting for each NMA, including main manuscript and online supplements, using the PRISMA-NMA checklist. The PRISMA-NMA checklist originally includes 32 total items (i.e. a 32-point scale original PRISMA-NMA score). We also prepared a modified version of the PRISMA-NMA checklist with 49 items to evaluate separately at a more granular level all multiple-content items (i.e. a 49-point scale modified PRISMA-NMA score). We compared average reporting scores of articles published until and after 2015. RESULTS: In the 1144 included NMAs the mean modified PRISMA-NMA score was 32.1 (95% CI 31.8-32.4) of a possible 49-excellence-score. For 1-year increase, the mean modified score increased by 0.96 (95% CI 0.32 to 1.59) for 389 NMAs published until 2015 and by 0.53 (95% CI 0.02 to 1.04) for 755 NMAs published after 2015. The mean modified PRISMA-NMA score for NMAs published after 2015 was higher by 0.81 (95% CI 0.23 to 1.39) compared to before 2015 when adjusting for journal impact factor, type of review, funding, and treatment category. Description of summary effect sizes to be used, presentation of individual study data, sources of funding for the systematic review, and role of funders dropped in frequency after 2015 by 6-16%. CONCLUSIONS: NMAs published after 2015 more frequently reported the five items associated with NMA compared to those published until 2015. However, improvement in reporting after 2015 is compatible with that observed on a yearly basis until 2015, and hence, it could not be attributed solely to the publication of the PRISMA-NMA.","container-title":"Systematic Reviews","DOI":"10.1186/s13643-021-01780-9","ISSN":"2046-4053","issue":"1","page":"246","title":"Do reporting guidelines have an impact? Empirical assessment of changes in reporting before and after the PRISMA extension statement for network meta-analysis","volume":"10","author":[{"literal":"Veroniki A A"},{"literal":"Tsokani S"},{"literal":"Zevgiti S"},{"literal":"Pagkalidou I"},{"literal":"Kontouli K M"},{"literal":"Ambarcioglu P"},{"literal":"Pandis N"},{"literal":"Lunny C"},{"literal":"Nikolakopoulou A"},{"literal":"Papakonstantinou T"},{"literal":"Chaimani A"},{"literal":"Straus S E"},{"literal":"Hutton B"},{"literal":"Tricco A C"},{"literal":"Mavridis D"},{"literal":"Salanti G"}],"issued":{"date-parts":[["2021"]]}}},{"id":29645,"uris":["http://zotero.org/groups/4983756/items/C83PHRTE"],"itemData":{"id":29645,"type":"article-journal","abstract":"Qualitative research plays an important role in helping us describe, interpret and generate theories about complex phenomena in healthcare. Complete and transparent reporting of research informs readers about the significance and rigor of the work. The aim of this scientometric study was to determine the quality of reporting of qualitative research in nursing social science. Studies were identified by manually searching the table of contents for qualitative papers published in the June (or closest subsequent) 2018 issue of 115 nursing journals. Adherence with the 32-item Consolidated Criteria for REporting Qualitative (COREQ) research was determined for each study by two researchers. Additional information about the study (e.g., sample size, field of nursing) and the publishing journal (e.g., endorsement of COREQ) were also extracted. Using established criteria, COREQ compliance was coded either good (≥ 25 items), moderate (17 to 24), poor (9 to 16), very poor (≤ 8) based on the number of items addressed in each study. One hundred and ninety-seven manuscripts were included. The quality of reporting was generally rated as either moderate (57%) or poor (38%). Journal endorsement of qualitative reporting guidelines was associated with better reporting. The reporting of qualitative research in nursing social science journals is suboptimal. Researchers, authors, reviewers and journal editors need to ensure their papers comprehensively address the requirements of COREQ to ensure comprehensive and transparent reporting of their research. © The Author(s) 2020.","container-title":"International Journal of Qualitative Methods","DOI":"10.1177/1609406920982145","ISSN":"16094069 (ISSN)","title":"Adherence to COREQ Reporting Guidelines for Qualitative Research: A Scientometric Study in Nursing Social Science","URL":"https://www.scopus.com/inward/record.uri?eid=2-s2.0-85098325783&amp;doi=10.1177%2f1609406920982145&amp;partnerID=40&amp;md5=6ea44ed7c5f5e7e50766ec1b3c2642c6","volume":"19","author":[{"literal":"Walsh S"},{"literal":"Jones M"},{"literal":"Bressington D"},{"literal":"McKenna L"},{"literal":"Brown E"},{"literal":"Terhaag S"},{"literal":"Shrestha M"},{"literal":"Al-Ghareeb A"},{"literal":"Gray R"}],"issued":{"date-parts":[["2020"]]}}}],"schema":"https://github.com/citation-style-language/schema/raw/master/csl-citation.json"} </w:instrText>
      </w:r>
      <w:r w:rsidR="00215DB0" w:rsidRPr="008C17AC">
        <w:rPr>
          <w:rFonts w:ascii="Times New Roman" w:eastAsia="Times New Roman" w:hAnsi="Times New Roman" w:cs="Times New Roman"/>
        </w:rPr>
        <w:fldChar w:fldCharType="separate"/>
      </w:r>
      <w:r w:rsidR="46C3480B" w:rsidRPr="008C17AC">
        <w:rPr>
          <w:rFonts w:ascii="Times New Roman" w:hAnsi="Times New Roman" w:cs="Times New Roman"/>
        </w:rPr>
        <w:t>[48,49,53,55,57,59,60,62–64,70,72–74,76,86–88,92,94,99,100,104,107,115,120,124,125,127,130–132]</w:t>
      </w:r>
      <w:r w:rsidR="00215DB0" w:rsidRPr="008C17AC">
        <w:rPr>
          <w:rFonts w:ascii="Times New Roman" w:eastAsia="Times New Roman" w:hAnsi="Times New Roman" w:cs="Times New Roman"/>
        </w:rPr>
        <w:fldChar w:fldCharType="end"/>
      </w:r>
      <w:r w:rsidR="1F0F9E92" w:rsidRPr="008C17AC">
        <w:rPr>
          <w:rFonts w:ascii="Times New Roman" w:eastAsia="Times New Roman" w:hAnsi="Times New Roman" w:cs="Times New Roman"/>
        </w:rPr>
        <w:t xml:space="preserve">. This outcome was most commonly assessed via a reporting checklist, such as CONSORT or ARRIVE. One study asked researchers to rate the perceived transparency of their research. </w:t>
      </w:r>
    </w:p>
    <w:p w14:paraId="28BD1F24" w14:textId="13EF58D5" w:rsidR="30A4E104" w:rsidRPr="008C17AC" w:rsidRDefault="4B84F320" w:rsidP="23EF21E2">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rPr>
        <w:t xml:space="preserve">Twenty-six studies assessed the effect of one or more interventions on data-sharing. Of these, </w:t>
      </w:r>
      <w:r w:rsidR="65F91E19" w:rsidRPr="008C17AC">
        <w:rPr>
          <w:rFonts w:ascii="Times New Roman" w:eastAsia="Times New Roman" w:hAnsi="Times New Roman" w:cs="Times New Roman"/>
        </w:rPr>
        <w:t>ten</w:t>
      </w:r>
      <w:r w:rsidRPr="008C17AC">
        <w:rPr>
          <w:rFonts w:ascii="Times New Roman" w:eastAsia="Times New Roman" w:hAnsi="Times New Roman" w:cs="Times New Roman"/>
        </w:rPr>
        <w:t xml:space="preserve"> studies checked </w:t>
      </w:r>
      <w:r w:rsidR="4074E08C" w:rsidRPr="008C17AC">
        <w:rPr>
          <w:rFonts w:ascii="Times New Roman" w:eastAsia="Times New Roman" w:hAnsi="Times New Roman" w:cs="Times New Roman"/>
        </w:rPr>
        <w:t xml:space="preserve">whether </w:t>
      </w:r>
      <w:r w:rsidRPr="008C17AC">
        <w:rPr>
          <w:rFonts w:ascii="Times New Roman" w:eastAsia="Times New Roman" w:hAnsi="Times New Roman" w:cs="Times New Roman"/>
        </w:rPr>
        <w:t>the data were actually freely available</w:t>
      </w:r>
      <w:r w:rsidR="28D1CEA0" w:rsidRPr="008C17AC">
        <w:rPr>
          <w:rFonts w:ascii="Times New Roman" w:eastAsia="Times New Roman" w:hAnsi="Times New Roman" w:cs="Times New Roman"/>
        </w:rPr>
        <w:t xml:space="preserve"> in a repository without first asking for it</w:t>
      </w:r>
      <w:r w:rsidR="5D8DD4FA" w:rsidRPr="008C17AC">
        <w:rPr>
          <w:rFonts w:ascii="Times New Roman" w:eastAsia="Times New Roman" w:hAnsi="Times New Roman" w:cs="Times New Roman"/>
        </w:rPr>
        <w:t xml:space="preserve"> [</w:t>
      </w:r>
      <w:r w:rsidR="00780384" w:rsidRPr="008C17AC">
        <w:rPr>
          <w:rFonts w:ascii="Times New Roman" w:eastAsia="Times New Roman" w:hAnsi="Times New Roman" w:cs="Times New Roman"/>
        </w:rPr>
        <w:t>50</w:t>
      </w:r>
      <w:r w:rsidR="5D8DD4FA" w:rsidRPr="008C17AC">
        <w:rPr>
          <w:rFonts w:ascii="Times New Roman" w:eastAsia="Times New Roman" w:hAnsi="Times New Roman" w:cs="Times New Roman"/>
        </w:rPr>
        <w:t xml:space="preserve">, </w:t>
      </w:r>
      <w:r w:rsidR="00780384" w:rsidRPr="008C17AC">
        <w:rPr>
          <w:rFonts w:ascii="Times New Roman" w:eastAsia="Times New Roman" w:hAnsi="Times New Roman" w:cs="Times New Roman"/>
        </w:rPr>
        <w:t>56</w:t>
      </w:r>
      <w:r w:rsidR="5D8DD4FA" w:rsidRPr="008C17AC">
        <w:rPr>
          <w:rFonts w:ascii="Times New Roman" w:eastAsia="Times New Roman" w:hAnsi="Times New Roman" w:cs="Times New Roman"/>
        </w:rPr>
        <w:t xml:space="preserve">, </w:t>
      </w:r>
      <w:r w:rsidR="008C17AC" w:rsidRPr="008C17AC">
        <w:rPr>
          <w:rFonts w:ascii="Times New Roman" w:eastAsia="Times New Roman" w:hAnsi="Times New Roman" w:cs="Times New Roman"/>
        </w:rPr>
        <w:t>73, 74</w:t>
      </w:r>
      <w:r w:rsidR="5D8DD4FA" w:rsidRPr="008C17AC">
        <w:rPr>
          <w:rFonts w:ascii="Times New Roman" w:eastAsia="Times New Roman" w:hAnsi="Times New Roman" w:cs="Times New Roman"/>
        </w:rPr>
        <w:t xml:space="preserve">, </w:t>
      </w:r>
      <w:r w:rsidR="008C17AC" w:rsidRPr="008C17AC">
        <w:rPr>
          <w:rFonts w:ascii="Times New Roman" w:eastAsia="Times New Roman" w:hAnsi="Times New Roman" w:cs="Times New Roman"/>
        </w:rPr>
        <w:t>77</w:t>
      </w:r>
      <w:r w:rsidR="5D8DD4FA" w:rsidRPr="008C17AC">
        <w:rPr>
          <w:rFonts w:ascii="Times New Roman" w:eastAsia="Times New Roman" w:hAnsi="Times New Roman" w:cs="Times New Roman"/>
        </w:rPr>
        <w:t xml:space="preserve">, </w:t>
      </w:r>
      <w:r w:rsidR="008C17AC" w:rsidRPr="008C17AC">
        <w:rPr>
          <w:rFonts w:ascii="Times New Roman" w:eastAsia="Times New Roman" w:hAnsi="Times New Roman" w:cs="Times New Roman"/>
        </w:rPr>
        <w:t xml:space="preserve">80, </w:t>
      </w:r>
      <w:r w:rsidR="008C17AC" w:rsidRPr="008C17AC">
        <w:rPr>
          <w:rFonts w:ascii="Times New Roman" w:eastAsia="Times New Roman" w:hAnsi="Times New Roman" w:cs="Times New Roman"/>
        </w:rPr>
        <w:t>96</w:t>
      </w:r>
      <w:r w:rsidR="5D8DD4FA" w:rsidRPr="008C17AC">
        <w:rPr>
          <w:rFonts w:ascii="Times New Roman" w:eastAsia="Times New Roman" w:hAnsi="Times New Roman" w:cs="Times New Roman"/>
        </w:rPr>
        <w:t xml:space="preserve">, </w:t>
      </w:r>
      <w:r w:rsidR="008C17AC" w:rsidRPr="008C17AC">
        <w:rPr>
          <w:rFonts w:ascii="Times New Roman" w:eastAsia="Times New Roman" w:hAnsi="Times New Roman" w:cs="Times New Roman"/>
        </w:rPr>
        <w:t>108 with</w:t>
      </w:r>
      <w:r w:rsidR="5D8DD4FA" w:rsidRPr="008C17AC">
        <w:rPr>
          <w:rFonts w:ascii="Times New Roman" w:eastAsia="Times New Roman" w:hAnsi="Times New Roman" w:cs="Times New Roman"/>
        </w:rPr>
        <w:t xml:space="preserve"> 2 studies</w:t>
      </w:r>
      <w:r w:rsidR="008C17AC" w:rsidRPr="008C17AC">
        <w:rPr>
          <w:rFonts w:ascii="Times New Roman" w:eastAsia="Times New Roman" w:hAnsi="Times New Roman" w:cs="Times New Roman"/>
        </w:rPr>
        <w:t>, 109</w:t>
      </w:r>
      <w:r w:rsidR="5D8DD4FA" w:rsidRPr="008C17AC">
        <w:rPr>
          <w:rFonts w:ascii="Times New Roman" w:eastAsia="Times New Roman" w:hAnsi="Times New Roman" w:cs="Times New Roman"/>
        </w:rPr>
        <w:t>]</w:t>
      </w:r>
      <w:r w:rsidRPr="008C17AC">
        <w:rPr>
          <w:rFonts w:ascii="Times New Roman" w:eastAsia="Times New Roman" w:hAnsi="Times New Roman" w:cs="Times New Roman"/>
        </w:rPr>
        <w:t xml:space="preserve">, </w:t>
      </w:r>
      <w:r w:rsidR="7E38CFF8" w:rsidRPr="008C17AC">
        <w:rPr>
          <w:rFonts w:ascii="Times New Roman" w:eastAsia="Times New Roman" w:hAnsi="Times New Roman" w:cs="Times New Roman"/>
        </w:rPr>
        <w:t>four</w:t>
      </w:r>
      <w:r w:rsidRPr="008C17AC">
        <w:rPr>
          <w:rFonts w:ascii="Times New Roman" w:eastAsia="Times New Roman" w:hAnsi="Times New Roman" w:cs="Times New Roman"/>
        </w:rPr>
        <w:t xml:space="preserve"> studies only checked </w:t>
      </w:r>
      <w:r w:rsidR="2AF5A48C" w:rsidRPr="008C17AC">
        <w:rPr>
          <w:rFonts w:ascii="Times New Roman" w:eastAsia="Times New Roman" w:hAnsi="Times New Roman" w:cs="Times New Roman"/>
        </w:rPr>
        <w:t xml:space="preserve">whether a statement was made about </w:t>
      </w:r>
      <w:r w:rsidRPr="008C17AC">
        <w:rPr>
          <w:rFonts w:ascii="Times New Roman" w:eastAsia="Times New Roman" w:hAnsi="Times New Roman" w:cs="Times New Roman"/>
        </w:rPr>
        <w:t xml:space="preserve">data </w:t>
      </w:r>
      <w:r w:rsidR="52CB0515" w:rsidRPr="008C17AC">
        <w:rPr>
          <w:rFonts w:ascii="Times New Roman" w:eastAsia="Times New Roman" w:hAnsi="Times New Roman" w:cs="Times New Roman"/>
        </w:rPr>
        <w:t>availability</w:t>
      </w:r>
      <w:r w:rsidR="4705C14D" w:rsidRPr="008C17AC">
        <w:rPr>
          <w:rFonts w:ascii="Times New Roman" w:eastAsia="Times New Roman" w:hAnsi="Times New Roman" w:cs="Times New Roman"/>
        </w:rPr>
        <w:t xml:space="preserve"> [</w:t>
      </w:r>
      <w:r w:rsidR="008C17AC" w:rsidRPr="008C17AC">
        <w:rPr>
          <w:rFonts w:ascii="Times New Roman" w:eastAsia="Times New Roman" w:hAnsi="Times New Roman" w:cs="Times New Roman"/>
        </w:rPr>
        <w:t>69</w:t>
      </w:r>
      <w:r w:rsidR="4705C14D" w:rsidRPr="008C17AC">
        <w:rPr>
          <w:rFonts w:ascii="Times New Roman" w:eastAsia="Times New Roman" w:hAnsi="Times New Roman" w:cs="Times New Roman"/>
        </w:rPr>
        <w:t xml:space="preserve">, </w:t>
      </w:r>
      <w:r w:rsidR="008C17AC" w:rsidRPr="008C17AC">
        <w:rPr>
          <w:rFonts w:ascii="Times New Roman" w:eastAsia="Times New Roman" w:hAnsi="Times New Roman" w:cs="Times New Roman"/>
        </w:rPr>
        <w:t>84</w:t>
      </w:r>
      <w:r w:rsidR="4705C14D" w:rsidRPr="008C17AC">
        <w:rPr>
          <w:rFonts w:ascii="Times New Roman" w:eastAsia="Times New Roman" w:hAnsi="Times New Roman" w:cs="Times New Roman"/>
        </w:rPr>
        <w:t xml:space="preserve">, </w:t>
      </w:r>
      <w:r w:rsidR="008C17AC" w:rsidRPr="008C17AC">
        <w:rPr>
          <w:rFonts w:ascii="Times New Roman" w:eastAsia="Times New Roman" w:hAnsi="Times New Roman" w:cs="Times New Roman"/>
        </w:rPr>
        <w:t>102</w:t>
      </w:r>
      <w:r w:rsidR="4705C14D" w:rsidRPr="008C17AC">
        <w:rPr>
          <w:rFonts w:ascii="Times New Roman" w:eastAsia="Times New Roman" w:hAnsi="Times New Roman" w:cs="Times New Roman"/>
        </w:rPr>
        <w:t xml:space="preserve">, </w:t>
      </w:r>
      <w:r w:rsidR="008C17AC" w:rsidRPr="008C17AC">
        <w:rPr>
          <w:rFonts w:ascii="Times New Roman" w:eastAsia="Times New Roman" w:hAnsi="Times New Roman" w:cs="Times New Roman"/>
        </w:rPr>
        <w:t>119</w:t>
      </w:r>
      <w:r w:rsidR="4705C14D" w:rsidRPr="008C17AC">
        <w:rPr>
          <w:rFonts w:ascii="Times New Roman" w:eastAsia="Times New Roman" w:hAnsi="Times New Roman" w:cs="Times New Roman"/>
        </w:rPr>
        <w:t>]</w:t>
      </w:r>
      <w:r w:rsidRPr="008C17AC">
        <w:rPr>
          <w:rFonts w:ascii="Times New Roman" w:eastAsia="Times New Roman" w:hAnsi="Times New Roman" w:cs="Times New Roman"/>
        </w:rPr>
        <w:t xml:space="preserve">, and </w:t>
      </w:r>
      <w:r w:rsidR="271F18E2" w:rsidRPr="008C17AC">
        <w:rPr>
          <w:rFonts w:ascii="Times New Roman" w:eastAsia="Times New Roman" w:hAnsi="Times New Roman" w:cs="Times New Roman"/>
        </w:rPr>
        <w:t>twelve</w:t>
      </w:r>
      <w:r w:rsidRPr="008C17AC">
        <w:rPr>
          <w:rFonts w:ascii="Times New Roman" w:eastAsia="Times New Roman" w:hAnsi="Times New Roman" w:cs="Times New Roman"/>
        </w:rPr>
        <w:t xml:space="preserve"> studies checked whether data were </w:t>
      </w:r>
      <w:r w:rsidR="56629AF4" w:rsidRPr="008C17AC">
        <w:rPr>
          <w:rFonts w:ascii="Times New Roman" w:eastAsia="Times New Roman" w:hAnsi="Times New Roman" w:cs="Times New Roman"/>
        </w:rPr>
        <w:t xml:space="preserve">actually </w:t>
      </w:r>
      <w:r w:rsidRPr="008C17AC">
        <w:rPr>
          <w:rFonts w:ascii="Times New Roman" w:eastAsia="Times New Roman" w:hAnsi="Times New Roman" w:cs="Times New Roman"/>
        </w:rPr>
        <w:t>shared after request</w:t>
      </w:r>
      <w:r w:rsidR="38CDD1F1" w:rsidRPr="008C17AC">
        <w:rPr>
          <w:rFonts w:ascii="Times New Roman" w:eastAsia="Times New Roman" w:hAnsi="Times New Roman" w:cs="Times New Roman"/>
        </w:rPr>
        <w:t xml:space="preserve"> [</w:t>
      </w:r>
      <w:r w:rsidR="008C17AC" w:rsidRPr="008C17AC">
        <w:rPr>
          <w:rFonts w:ascii="Times New Roman" w:eastAsia="Times New Roman" w:hAnsi="Times New Roman" w:cs="Times New Roman"/>
        </w:rPr>
        <w:t>67</w:t>
      </w:r>
      <w:r w:rsidR="38CDD1F1" w:rsidRPr="008C17AC">
        <w:rPr>
          <w:rFonts w:ascii="Times New Roman" w:eastAsia="Times New Roman" w:hAnsi="Times New Roman" w:cs="Times New Roman"/>
        </w:rPr>
        <w:t xml:space="preserve">, </w:t>
      </w:r>
      <w:r w:rsidR="008C17AC" w:rsidRPr="008C17AC">
        <w:rPr>
          <w:rFonts w:ascii="Times New Roman" w:eastAsia="Times New Roman" w:hAnsi="Times New Roman" w:cs="Times New Roman"/>
        </w:rPr>
        <w:t>81</w:t>
      </w:r>
      <w:r w:rsidR="38CDD1F1" w:rsidRPr="008C17AC">
        <w:rPr>
          <w:rFonts w:ascii="Times New Roman" w:eastAsia="Times New Roman" w:hAnsi="Times New Roman" w:cs="Times New Roman"/>
        </w:rPr>
        <w:t xml:space="preserve">, </w:t>
      </w:r>
      <w:r w:rsidR="008C17AC" w:rsidRPr="008C17AC">
        <w:rPr>
          <w:rFonts w:ascii="Times New Roman" w:eastAsia="Times New Roman" w:hAnsi="Times New Roman" w:cs="Times New Roman"/>
        </w:rPr>
        <w:t>85</w:t>
      </w:r>
      <w:r w:rsidR="38CDD1F1" w:rsidRPr="008C17AC">
        <w:rPr>
          <w:rFonts w:ascii="Times New Roman" w:eastAsia="Times New Roman" w:hAnsi="Times New Roman" w:cs="Times New Roman"/>
        </w:rPr>
        <w:t xml:space="preserve">, </w:t>
      </w:r>
      <w:r w:rsidR="008C17AC" w:rsidRPr="008C17AC">
        <w:rPr>
          <w:rFonts w:ascii="Times New Roman" w:eastAsia="Times New Roman" w:hAnsi="Times New Roman" w:cs="Times New Roman"/>
        </w:rPr>
        <w:t>101</w:t>
      </w:r>
      <w:r w:rsidR="38CDD1F1" w:rsidRPr="008C17AC">
        <w:rPr>
          <w:rFonts w:ascii="Times New Roman" w:eastAsia="Times New Roman" w:hAnsi="Times New Roman" w:cs="Times New Roman"/>
        </w:rPr>
        <w:t xml:space="preserve">, </w:t>
      </w:r>
      <w:r w:rsidR="008C17AC" w:rsidRPr="008C17AC">
        <w:rPr>
          <w:rFonts w:ascii="Times New Roman" w:eastAsia="Times New Roman" w:hAnsi="Times New Roman" w:cs="Times New Roman"/>
        </w:rPr>
        <w:t>103</w:t>
      </w:r>
      <w:r w:rsidR="38CDD1F1" w:rsidRPr="008C17AC">
        <w:rPr>
          <w:rFonts w:ascii="Times New Roman" w:eastAsia="Times New Roman" w:hAnsi="Times New Roman" w:cs="Times New Roman"/>
        </w:rPr>
        <w:t xml:space="preserve">, </w:t>
      </w:r>
      <w:r w:rsidR="008C17AC" w:rsidRPr="008C17AC">
        <w:rPr>
          <w:rFonts w:ascii="Times New Roman" w:eastAsia="Times New Roman" w:hAnsi="Times New Roman" w:cs="Times New Roman"/>
        </w:rPr>
        <w:t>104</w:t>
      </w:r>
      <w:r w:rsidR="38CDD1F1" w:rsidRPr="008C17AC">
        <w:rPr>
          <w:rFonts w:ascii="Times New Roman" w:eastAsia="Times New Roman" w:hAnsi="Times New Roman" w:cs="Times New Roman"/>
        </w:rPr>
        <w:t xml:space="preserve">, </w:t>
      </w:r>
      <w:r w:rsidR="008C17AC" w:rsidRPr="008C17AC">
        <w:rPr>
          <w:rFonts w:ascii="Times New Roman" w:eastAsia="Times New Roman" w:hAnsi="Times New Roman" w:cs="Times New Roman"/>
        </w:rPr>
        <w:t>112 with</w:t>
      </w:r>
      <w:r w:rsidR="38CDD1F1" w:rsidRPr="008C17AC">
        <w:rPr>
          <w:rFonts w:ascii="Times New Roman" w:eastAsia="Times New Roman" w:hAnsi="Times New Roman" w:cs="Times New Roman"/>
        </w:rPr>
        <w:t xml:space="preserve"> 3 studies, </w:t>
      </w:r>
      <w:r w:rsidR="008C17AC" w:rsidRPr="008C17AC">
        <w:rPr>
          <w:rFonts w:ascii="Times New Roman" w:eastAsia="Times New Roman" w:hAnsi="Times New Roman" w:cs="Times New Roman"/>
        </w:rPr>
        <w:t>114</w:t>
      </w:r>
      <w:r w:rsidR="38CDD1F1" w:rsidRPr="008C17AC">
        <w:rPr>
          <w:rFonts w:ascii="Times New Roman" w:eastAsia="Times New Roman" w:hAnsi="Times New Roman" w:cs="Times New Roman"/>
        </w:rPr>
        <w:t xml:space="preserve">, </w:t>
      </w:r>
      <w:r w:rsidR="008C17AC" w:rsidRPr="008C17AC">
        <w:rPr>
          <w:rFonts w:ascii="Times New Roman" w:eastAsia="Times New Roman" w:hAnsi="Times New Roman" w:cs="Times New Roman"/>
        </w:rPr>
        <w:t>116</w:t>
      </w:r>
      <w:r w:rsidR="38CDD1F1" w:rsidRPr="008C17AC">
        <w:rPr>
          <w:rFonts w:ascii="Times New Roman" w:eastAsia="Times New Roman" w:hAnsi="Times New Roman" w:cs="Times New Roman"/>
        </w:rPr>
        <w:t xml:space="preserve">, </w:t>
      </w:r>
      <w:r w:rsidR="008C17AC" w:rsidRPr="008C17AC">
        <w:rPr>
          <w:rFonts w:ascii="Times New Roman" w:eastAsia="Times New Roman" w:hAnsi="Times New Roman" w:cs="Times New Roman"/>
        </w:rPr>
        <w:t>126</w:t>
      </w:r>
      <w:r w:rsidR="38CDD1F1" w:rsidRPr="008C17AC">
        <w:rPr>
          <w:rFonts w:ascii="Times New Roman" w:eastAsia="Times New Roman" w:hAnsi="Times New Roman" w:cs="Times New Roman"/>
        </w:rPr>
        <w:t>]</w:t>
      </w:r>
      <w:r w:rsidRPr="008C17AC">
        <w:rPr>
          <w:rFonts w:ascii="Times New Roman" w:eastAsia="Times New Roman" w:hAnsi="Times New Roman" w:cs="Times New Roman"/>
        </w:rPr>
        <w:t xml:space="preserve">. </w:t>
      </w:r>
    </w:p>
    <w:p w14:paraId="0B70F3E0" w14:textId="7971EC46" w:rsidR="009138A3" w:rsidRPr="008C17AC" w:rsidRDefault="3F7CF89C" w:rsidP="23EF21E2">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rPr>
        <w:t>Other proxy outcomes were preregist</w:t>
      </w:r>
      <w:r w:rsidR="7BD9E7F5" w:rsidRPr="008C17AC">
        <w:rPr>
          <w:rFonts w:ascii="Times New Roman" w:eastAsia="Times New Roman" w:hAnsi="Times New Roman" w:cs="Times New Roman"/>
        </w:rPr>
        <w:t>ration and trial data sharing</w:t>
      </w:r>
      <w:r w:rsidR="66E20E88" w:rsidRPr="008C17AC">
        <w:rPr>
          <w:rFonts w:ascii="Times New Roman" w:eastAsia="Times New Roman" w:hAnsi="Times New Roman" w:cs="Times New Roman"/>
        </w:rPr>
        <w:t xml:space="preserve"> </w:t>
      </w:r>
      <w:r w:rsidR="68BBF6C3" w:rsidRPr="008C17AC">
        <w:rPr>
          <w:rFonts w:ascii="Times New Roman" w:eastAsia="Times New Roman" w:hAnsi="Times New Roman" w:cs="Times New Roman"/>
        </w:rPr>
        <w:fldChar w:fldCharType="begin"/>
      </w:r>
      <w:r w:rsidR="68BBF6C3" w:rsidRPr="008C17AC">
        <w:rPr>
          <w:rFonts w:ascii="Times New Roman" w:eastAsia="Times New Roman" w:hAnsi="Times New Roman" w:cs="Times New Roman"/>
        </w:rPr>
        <w:instrText xml:space="preserve"> ADDIN ZOTERO_ITEM CSL_CITATION {"citationID":"iflo5HLx","properties":{"formattedCitation":"[82,98,121,129]","plainCitation":"[82,98,121,129]","noteIndex":0},"citationItems":[{"id":29777,"uris":["http://zotero.org/groups/4983756/items/FDZJENVI"],"itemData":{"id":29777,"type":"article-journal","abstract":"Background: Trial registration and the reporting of trial results are essential to increase transparency in clinical research. Although both have been strongly promoted in recent years, it remains unclear whether they have been successfully implemented in surgery and surgery-related disciplines. In this cross-sectional study, we assessed whether randomized controlled trials (RCTs) published in surgery journals requiring trial registration in their author instructions were indeed registered, and whether the study results of registered RCTs had been submitted to the trial register and were thus publicly available.Methods: The ten highest ranked surgery journals requiring trial registration by impact factor (Journal Citation Reports, JCR, 2011) were chosen. We then searched MEDLINE (in PubMed) for RCTs published in the selected journals between 1 June 2012 and 31 December 2012. Any trials recruiting participants before 2004 were excluded because the International Committee of Medical Journal Editors (ICMJE) first proposed trial registration in 2004. We then searched the World Health Organization (WHO) International Clinical Trials Registry Platform (ICTRP) to assess whether the identified RCTs were indeed registered and whether the results of the registered RCTs were available in the register.Results: The search retrieved 588 citations. Four hundred and sixty references were excluded in the first screening. A further 25 were excluded after full-text screening. A total of 103 RCTs were finally included. Eighty-five of these RCTs (83%) could be found via the ICTRP. For 7 of 59 (12%) RCTs, which were registered on ClinicalTrials.gov, summary study data had been posted in the results database.Conclusions: Although still not fully implemented, trial registration in surgery has gained momentum. In general, however, the submission of summary study data to ClinicalTrials.gov remains poor. © 2013 Hardt et al.; licensee BioMed Central Ltd.","container-title":"Trials","DOI":"10.1186/1745-6215-14-407","ISSN":"17456215 (ISSN)","issue":"1","page":"407","title":"Surgical trials and trial registers: A cross-sectional study of randomized controlled trials published in journals requiring trial registration in the author instructions","volume":"14","author":[{"literal":"Hardt J L. S"},{"literal":"Metzendorf M I"},{"literal":"Meerpohl J J"}],"issued":{"date-parts":[["2013"]]}}},{"id":29799,"uris":["http://zotero.org/groups/4983756/items/7ZRV8896"],"itemData":{"id":29799,"type":"article-journal","abstract":"Background. Trial registration was introduced to reduce research bias by promoting trial transparency and accountability. We aimed to evaluate the frequency of, and factors associated with, trial registration and declaration of trial registration. Methods. We selected all randomized controlled trials in kidney transplantation published between October 2005 and December 2010 and determined whether a trial was registered and whether a trial declared their registration in subsequent trial reports. Results. Of 307 eligible trials identified, 24% (74/307) were registered, and of those, 59% (44/74) contained trial registration details within at least one trial report. Trial registration was more likely for trials published more than once, in later years or reported in journals that followed the International Committee of Medical Journal Editors guidelines. Trial registration was less likely for trials that did not declare their funding sources. Registered trials were more likely to declare registration details in related reports if published in later years or in a journal that followed International Committee of Medical Journal Editors guidelines. Trials that did not declare their funding sources were less likely to declare registration details. Conclusions. Although still suboptimal, the situation is improving over time, with both trial registration and declaration of registration details more likely in later years. © 2011 Lippincott Williams &amp; Wilkins.","container-title":"Transplantation","DOI":"10.1097/tp.0b013e318232baf2","ISSN":"0041-1337","page":"1094-1100","title":"Trial registration and declaration of registration by authors of randomized controlled trials","volume":"92(10)","author":[{"literal":"McGee R G"},{"literal":"Su M"},{"literal":"Kelly P J"},{"literal":"Higgins G Y"},{"literal":"Craig J C"},{"literal":"Webster A C"}],"issued":{"date-parts":[["2011"]]}}},{"id":29773,"uris":["http://zotero.org/groups/4983756/items/H8BX6PLY"],"itemData":{"id":29773,"type":"article-journal","abstract":"INTRODUCTION: With the intent of improving transparency in clinical research, the International Committee of Medical Journal Editors (ICMJE) established guidelines in 2005 regarding prospective clinical trial registration. This action worked to address bias related to selective outcome reporting in the medical literature. The objective of this study was to assess and characterize the quality of registration of clinical trials appearing in shoulder arthroplasty-related medical journals. METHODS: All randomized trials involving human subjects, pertaining to shoulder arthroplasty, published between July 1, 2005 and December 31, 2015, and indexed in either PubMed or SportDISCUS were analyzed. We assessed the prevalence of registration, the timing of registration relative to patient enrollment periods, and the variable rates of orthopedic journal compliance with ICMJE and Food and Drug Administration clinical registration standards for our study. RESULTS: Of the 382 articles identified, 345 (90.3%) were excluded due to failure to meet inclusion criteria. From the remaining 37, only 12 (32.4%) studies were found to be registered in a trial registry. Ten (10/12, 83.3%) of these provided their registration information within the body of the article. None of the included studies from ICMJE-recognized journals were registered. From 34 included studies from non-ICMJE recognized journals, 12 (35.3%) were registered. CONCLUSION: The level of compliance with clinical trial registration guidelines in the decade since their release among shoulder arthroplasty trials in orthopedic journals is poor. Given the importance of the issue, the prevalence of the problem, and the fact that many other medical specialties have already made efforts to improve ICMJE compliance, further work on the part of orthopedic surgery journal authors and editors is needed to ensure the publication of unbiased results. Trial registration: Umin000022487.","container-title":"PLoS ONE [Electronic Resource]","DOI":"10.1371/journal.pone.0164984","ISSN":"1932-6203","issue":"10","page":"e0164984","title":"Shoulder Arthroplasty Trials Are Infrequently Registered: A Systematic Review of Trials","volume":"11","author":[{"literal":"Sims M T"},{"literal":"Sanchez Z C"},{"literal":"Herrington J M"},{"literal":"Hensel J B"},{"literal":"Henning N M"},{"literal":"Scheckel C J"},{"literal":"Vassar M"}],"issued":{"date-parts":[["2016"]]}}},{"id":29791,"uris":["http://zotero.org/groups/4983756/items/QW55MMA5"],"itemData":{"id":29791,"type":"article-journal","abstract":"Background: With the exponential growth of published systematic reviews (SR), there is a high potential for overlapping and redundant duplication of work. Prospective protocol registration gives the opportunity to assess the added value of a new study or review, thereby potentially reducing research waste and simultaneously increasing transparency and research quality. The PROSPERO database for SR protocol registration was launched 10 years ago. This study aims to assess the proportion SRs of intervention studies with a protocol registration (or publication) and explore associations of SR characteristics with protocol registration status. Methods: PubMed was searched for SRs of human intervention studies published in January 2020 and January 2021. After random-stratified sampling and eligibility screening, data extraction on publication and journal characteristics, and protocol registration status, was performed. Both descriptive and multivariable comparative statistical analyses were performed. Results: A total of 357 SRs (2020: n = 163; 2021: n = 194) were included from a random sample of 1267 publications. Of the published SRs, 38% had a protocol. SRs that reported using PRISMA as a reporting guideline had higher odds of having a protocol than publications that did not report PRISMA (OR 2.71; 95% CI: 1.21 to 6.09). SRs with a higher journal impact factor had higher odds of having a protocol (OR 1.12; 95% CI 1.04 to 1.25). Publications from Asia had a lower odds of having a protocol (OR 0.43; 95% CI 0.23 to 0.80, reference category = Europe). Of the 33 SRs published in journals that endorse PROSPERO, 45% did not have a protocol. Most SR protocols were registered in PROSPERO (n = 129; 96%). Conclusions: We found that 38% of recently published SRs of interventions reported a registered or published protocol. Protocol registration was significantly associated with a higher impact factor of the journal publishing the SR and a more frequent self-reported use of the PRISMA guidelines. In some parts of the world, SR protocols are more often registered or published than others. To guide strategies to increase the uptake of SR protocol registration, further research is needed to gain understanding of the benefits and informativeness of SRs protocols among different stakeholders. Systematic review registration: osf.io/9kj7r/ © 2022, The Author(s).","container-title":"Systematic Reviews","DOI":"10.1186/s13643-022-02053-9","ISSN":"20464053 (ISSN)","issue":"1","page":"191","title":"The score after 10 years of registration of systematic review protocols","volume":"11","author":[{"literal":"van der Braak K"},{"literal":"Ghannad M"},{"literal":"Orelio C"},{"literal":"Heus P"},{"literal":"Damen J A. A"},{"literal":"Spijker R"},{"literal":"Robinson K"},{"literal":"Lund H"},{"literal":"Hooft L"}],"issued":{"date-parts":[["2022"]]}}}],"schema":"https://github.com/citation-style-language/schema/raw/master/csl-citation.json"} </w:instrText>
      </w:r>
      <w:r w:rsidR="68BBF6C3" w:rsidRPr="008C17AC">
        <w:rPr>
          <w:rFonts w:ascii="Times New Roman" w:eastAsia="Times New Roman" w:hAnsi="Times New Roman" w:cs="Times New Roman"/>
        </w:rPr>
        <w:fldChar w:fldCharType="separate"/>
      </w:r>
      <w:r w:rsidR="66E20E88" w:rsidRPr="008C17AC">
        <w:rPr>
          <w:rFonts w:ascii="Times New Roman" w:hAnsi="Times New Roman" w:cs="Times New Roman"/>
        </w:rPr>
        <w:t>[82,98,121,129]</w:t>
      </w:r>
      <w:r w:rsidR="68BBF6C3" w:rsidRPr="008C17AC">
        <w:rPr>
          <w:rFonts w:ascii="Times New Roman" w:eastAsia="Times New Roman" w:hAnsi="Times New Roman" w:cs="Times New Roman"/>
        </w:rPr>
        <w:fldChar w:fldCharType="end"/>
      </w:r>
      <w:r w:rsidRPr="008C17AC">
        <w:rPr>
          <w:rFonts w:ascii="Times New Roman" w:eastAsia="Times New Roman" w:hAnsi="Times New Roman" w:cs="Times New Roman"/>
        </w:rPr>
        <w:t xml:space="preserve">; </w:t>
      </w:r>
      <w:r w:rsidR="728C02EC" w:rsidRPr="008C17AC">
        <w:rPr>
          <w:rFonts w:ascii="Times New Roman" w:eastAsia="Times New Roman" w:hAnsi="Times New Roman" w:cs="Times New Roman"/>
        </w:rPr>
        <w:t>how transparent researchers rated themselves</w:t>
      </w:r>
      <w:r w:rsidR="5072BC72" w:rsidRPr="008C17AC">
        <w:rPr>
          <w:rFonts w:ascii="Times New Roman" w:eastAsia="Times New Roman" w:hAnsi="Times New Roman" w:cs="Times New Roman"/>
        </w:rPr>
        <w:t xml:space="preserve"> </w:t>
      </w:r>
      <w:r w:rsidR="68BBF6C3" w:rsidRPr="008C17AC">
        <w:rPr>
          <w:rFonts w:ascii="Times New Roman" w:eastAsia="Times New Roman" w:hAnsi="Times New Roman" w:cs="Times New Roman"/>
        </w:rPr>
        <w:fldChar w:fldCharType="begin"/>
      </w:r>
      <w:r w:rsidR="68BBF6C3" w:rsidRPr="008C17AC">
        <w:rPr>
          <w:rFonts w:ascii="Times New Roman" w:eastAsia="Times New Roman" w:hAnsi="Times New Roman" w:cs="Times New Roman"/>
        </w:rPr>
        <w:instrText xml:space="preserve"> ADDIN ZOTERO_ITEM CSL_CITATION {"citationID":"10K0KOsD","properties":{"formattedCitation":"[68]","plainCitation":"[68]","noteIndex":0},"citationItems":[{"id":29654,"uris":["http://zotero.org/groups/4983756/items/85QMFA8N"],"itemData":{"id":29654,"type":"article-journal","abstract":"INTRODUCTION: As biomedical research becomes more data-intensive, computational reproducibility is a growing area of importance. Unfortunately, many biomedical researchers have not received formal computational training and often struggle to produce results that can be reproduced using the same data, code, and methods. Programming workshops can be a tool to teach new computational methods, but it is not always clear whether researchers are able to use their new skills to make their work more computationally reproducible. METHODS: This mixed methods study consisted of in-depth interviews with 14 biomedical researchers before and after participation in an introductory programming workshop. During the interviews, participants described their research workflows and responded to a quantitative checklist measuring reproducible behaviors. The interview data was analyzed using a thematic analysis approach, and the pre and post workshop checklist scores were compared to assess the impact of the workshop on the computational reproducibility of the researchers' workflows. RESULTS: Pre and post scores on a checklist of reproducible behaviors did not change in a statistically significant manner. The qualitative interviews revealed that several participants had made small changes to their workflows including switching to open source programming languages for their data cleaning, analysis, and visualization. Overall many of the participants indicated higher levels of programming literacy, and an interest in further training. Factors that enabled change included supportive environments and an immediate research need, while barriers included collaborators that were resistant to new tools, and a lack of time. CONCLUSION: While none of the workshop participants completely changed their workflows, many of them did incorporate new practices, tools, or methods that helped make their work more reproducible and transparent to other researchers. This indicates that programming workshops now offered by libraries and other organizations contribute to computational reproducibility training for researchers.","container-title":"PLoS ONE [Electronic Resource]","DOI":"10.1371/journal.pone.0230697","ISSN":"1932-6203","issue":"7","page":"e0230697","title":"Assessing the impact of introductory programming workshops on the computational reproducibility of biomedical workflows","volume":"15","author":[{"literal":"Deardorff A"}],"issued":{"date-parts":[["2020"]]}}}],"schema":"https://github.com/citation-style-language/schema/raw/master/csl-citation.json"} </w:instrText>
      </w:r>
      <w:r w:rsidR="68BBF6C3" w:rsidRPr="008C17AC">
        <w:rPr>
          <w:rFonts w:ascii="Times New Roman" w:eastAsia="Times New Roman" w:hAnsi="Times New Roman" w:cs="Times New Roman"/>
        </w:rPr>
        <w:fldChar w:fldCharType="separate"/>
      </w:r>
      <w:r w:rsidR="5072BC72" w:rsidRPr="008C17AC">
        <w:rPr>
          <w:rFonts w:ascii="Times New Roman" w:hAnsi="Times New Roman" w:cs="Times New Roman"/>
        </w:rPr>
        <w:t>[68]</w:t>
      </w:r>
      <w:r w:rsidR="68BBF6C3" w:rsidRPr="008C17AC">
        <w:rPr>
          <w:rFonts w:ascii="Times New Roman" w:eastAsia="Times New Roman" w:hAnsi="Times New Roman" w:cs="Times New Roman"/>
        </w:rPr>
        <w:fldChar w:fldCharType="end"/>
      </w:r>
      <w:r w:rsidRPr="008C17AC">
        <w:rPr>
          <w:rFonts w:ascii="Times New Roman" w:eastAsia="Times New Roman" w:hAnsi="Times New Roman" w:cs="Times New Roman"/>
        </w:rPr>
        <w:t>; and code sharing</w:t>
      </w:r>
      <w:r w:rsidR="50C506B9" w:rsidRPr="008C17AC">
        <w:rPr>
          <w:rFonts w:ascii="Times New Roman" w:eastAsia="Times New Roman" w:hAnsi="Times New Roman" w:cs="Times New Roman"/>
        </w:rPr>
        <w:t xml:space="preserve"> </w:t>
      </w:r>
      <w:r w:rsidR="68BBF6C3" w:rsidRPr="008C17AC">
        <w:rPr>
          <w:rFonts w:ascii="Times New Roman" w:eastAsia="Times New Roman" w:hAnsi="Times New Roman" w:cs="Times New Roman"/>
        </w:rPr>
        <w:fldChar w:fldCharType="begin"/>
      </w:r>
      <w:r w:rsidR="68BBF6C3" w:rsidRPr="008C17AC">
        <w:rPr>
          <w:rFonts w:ascii="Times New Roman" w:eastAsia="Times New Roman" w:hAnsi="Times New Roman" w:cs="Times New Roman"/>
        </w:rPr>
        <w:instrText xml:space="preserve"> ADDIN ZOTERO_ITEM CSL_CITATION {"citationID":"jn8SeJpG","properties":{"formattedCitation":"[54,66,81,93,113]","plainCitation":"[54,66,81,93,113]","noteIndex":0},"citationItems":[{"id":29753,"uris":["http://zotero.org/groups/4983756/items/IDQ2IABI"],"itemData":{"id":29753,"type":"article-journal","container-title":"Zeitschrift Fur Soziologie","DOI":"10.1515/zfsoz-2020-0001","ISSN":"0340-1804","issue":"1","page":"1-9","title":"More openness in research? An evaluation of open science measures at the Journal of Sociology","volume":"49","author":[{"literal":"Auspurg K"},{"literal":"Recker J"}],"issued":{"date-parts":[["2020"]]}}},{"id":29745,"uris":["http://zotero.org/groups/4983756/items/EBB66E8V"],"itemData":{"id":29745,"type":"article-journal","abstract":"Access to analytical code is essential for transparent and reproducible research. We review the state of code availability in ecology using a random sample of 346 nonmolecular articles published between 2015 and 2019 under mandatory or encouraged code-sharing policies. Our results call for urgent action to increase code availability: only 27% of eligible articles were accompanied by code. In contrast, data were available for 79% of eligible articles, highlighting that code availability is an important limiting factor for computational reproducibility in ecology. Although the percentage of ecological journals with mandatory or encouraged code-sharing policies has increased considerably, from 15% in 2015 to 75% in 2020, our results show that code-sharing policies are not adhered to by most authors. We hope these results will encourage journals, institutions, funding agencies, and researchers to address this alarming situation.","container-title":"Plos Biology","DOI":"10.1371/journal.pbio.3000763","ISSN":"1545-7885","issue":"7","page":"e3000763","title":"Low availability of code in ecology: A call for urgent action","volume":"18","author":[{"literal":"Culina A"},{"literal":"van den Berg I"},{"literal":"Evans S"},{"literal":"Sanchez-Tojar A"}],"issued":{"date-parts":[["2020"]]}}},{"id":29723,"uris":["http://zotero.org/groups/4983756/items/J8VFZQZM"],"itemData":{"id":29723,"type":"article-journal","abstract":"BACKGROUND: Various stakeholders are calling for increased availability of data and code from cancer research. However, it is unclear how commonly these products are shared, and what factors are associated with sharing. Our objective was to evaluate how frequently oncology researchers make data and code available and explore factors associated with sharing. METHODS: A cross-sectional analysis of a random sample of 306 cancer-related articles indexed in PubMed in 2019 which studied research subjects with a cancer diagnosis was performed. All articles were independently screened for eligibility by two authors. Outcomes of interest included the prevalence of affirmative sharing declarations and the rate with which declarations connected to data complying with key FAIR principles (e.g. posted to a recognised repository, assigned an identifier, data license outlined, non-proprietary formatting). We also investigated associations between sharing rates and several journal characteristics (e.g. sharing policies, publication models), study characteristics (e.g. cancer rarity, study design), open science practices (e.g. pre-registration, pre-printing) and subsequent citation rates between 2020 and 2021. RESULTS: One in five studies declared data were publicly available (59/306, 19%, 95% CI: 15-24%). However, when data availability was investigated this percentage dropped to 16% (49/306, 95% CI: 12-20%), and then to less than 1% (1/306, 95% CI: 0-2%) when data were checked for compliance with key FAIR principles. While only 4% of articles that used inferential statistics reported code to be available (10/274, 95% CI: 2-6%), the odds of reporting code to be available were 5.6 times higher for researchers who shared data. Compliance with mandatory data and code sharing policies was observed in 48% (14/29) and 0% (0/6) of articles, respectively. However, 88% of articles (45/51) included data availability statements when required. Policies that encouraged data sharing did not appear to be any more effective than not having a policy at all. The only factors associated with higher rates of data sharing were studying rare cancers and using publicly available data to complement original research. CONCLUSIONS: Data and code sharing in oncology occurs infrequently, and at a lower rate than would be expected given the prevalence of mandatory sharing policies. There is also a large gap between those declaring data to be available, and those archiving data in a way that facilitates its reuse. We encourage journals to actively check compliance with sharing policies, and researchers consult community-accepted guidelines when archiving the products of their research.","container-title":"BMC Medicine","DOI":"10.1186/s12916-022-02644-2","ISSN":"1741-7015","issue":"1","page":"438","title":"How often do cancer researchers make their data and code available and what factors are associated with sharing?","volume":"20","author":[{"literal":"Hamilton D G"},{"literal":"Page M J"},{"literal":"Finch S"},{"literal":"Everitt S"},{"literal":"Fidler F"}],"issued":{"date-parts":[["2022"]]}}},{"id":29771,"uris":["http://zotero.org/groups/4983756/items/V2WB6YWA"],"itemData":{"id":29771,"type":"article-journal","abstract":"In 2019 the Journal of Memory and Language instituted an open data and code policy; this policy requires that, as a rule, code and data be released at the latest upon publication. How effective is this policy? We compared 59 papers published before, and 59 papers published after, the policy took effect. After the policy was in place, the rate of data sharing increased by more than 50%. We further looked at whether papers published under the open data policy were reproducible, in the sense that the published results should be possible to regenerate given the data, and given the code, when code was provided. For 8 out of the 59 papers, data sets were inaccessible. The reproducibility rate ranged from 34% to 56%, depending on the reproducibility criteria. The strongest predictor of whether an attempt to reproduce would be successful is the presence of the analysis code: it increases the probability of reproducing reported results by almost 40%. We propose two simple steps that can increase the reproducibility of published papers: share the analysis code, and attempt to reproduce one's own analysis using only the shared materials. © 2022 The Author(s)","container-title":"Journal of Memory and Language","DOI":"10.1016/j.jml.2022.104332","ISSN":"0749596X (ISSN)","page":"104332","title":"Share the code, not just the data: A case study of the reproducibility of articles published in the Journal of Memory and Language under the open data policy","volume":"125","author":[{"literal":"Laurinavichyute A"},{"literal":"Yadav H"},{"literal":"Vasishth S"}],"issued":{"date-parts":[["2022"]]}}},{"id":29662,"uris":["http://zotero.org/groups/4983756/items/24EB9KQA"],"itemData":{"id":29662,"type":"article-journal","abstract":"&lt;b&gt;Background&lt;/b&gt;: Reproducible research includes sharing data and code. The reproducibility policy at the journal Biostatistics rewards articles with badges for data and code sharing. This study investigates the effect of badges at increasing reproducible research, specifically, data and code sharing, at Biostatistics. &lt;b&gt;Methods&lt;/b&gt;: The setting of this observational study is the Biostatistics and Statistics in Medicine (control journal) online research archives. The data consisted of 240 randomly sampled articles from 2006 to 2013 (30 articles per year) per journal, a total sample of 480 articles. Data analyses included: plotting probability of data and code sharing by article submission date, and Bayesian logistic regression modelling to test for a difference in the probability of making data and code available after the introduction of badges at Biostatistics. &lt;b&gt;Results&lt;/b&gt;: The probability of data sharing was higher at Biostatistics than the control journal but the probability of code sharing was comparable for both journals. The probability of data sharing increased by 3.5 times (95% credible interval: 1.4 to 7.4 times, p-value probability that sharing increased: 0.996) after badges were introduced at Biostatistics. On an absolute scale, however, this difference was only a 7.3% increase in data sharing (95% CI: 2 to 14%, p-value: 0.996). Badges did not have an impact on code sharing at the journal (mean increase: 1.1 times, 95% credible interval: 0.45 to 2.14 times, p-value probability that sharing increased: 0.549). &lt;b&gt;Conclusions:&lt;/b&gt; The effect of badges at Biostatistics was a 7.3% increase in the data sharing rate, 5 times less than the effect of badges on data sharing at Psychological Science (37.9% badge effect). Though the effect of badges at Biostatistics did not impact code sharing, and was associated with only a moderate effect on data sharing, badges are an interesting step that journals are taking to incentivise and promote reproducible research.","container-title":"F1000Research","DOI":"10.12688/f1000research.13477.2","ISSN":"2046-1402","page":"90","title":"Badges for sharing data and code at Biostatistics: an observational study","volume":"7","author":[{"literal":"Rowhani-Farid A"},{"literal":"Barnett A G"}],"issued":{"date-parts":[["2018"]]}}}],"schema":"https://github.com/citation-style-language/schema/raw/master/csl-citation.json"} </w:instrText>
      </w:r>
      <w:r w:rsidR="68BBF6C3" w:rsidRPr="008C17AC">
        <w:rPr>
          <w:rFonts w:ascii="Times New Roman" w:eastAsia="Times New Roman" w:hAnsi="Times New Roman" w:cs="Times New Roman"/>
        </w:rPr>
        <w:fldChar w:fldCharType="separate"/>
      </w:r>
      <w:r w:rsidR="50C506B9" w:rsidRPr="008C17AC">
        <w:rPr>
          <w:rFonts w:ascii="Times New Roman" w:hAnsi="Times New Roman" w:cs="Times New Roman"/>
        </w:rPr>
        <w:t>[54,66,81,93,113]</w:t>
      </w:r>
      <w:r w:rsidR="68BBF6C3" w:rsidRPr="008C17AC">
        <w:rPr>
          <w:rFonts w:ascii="Times New Roman" w:eastAsia="Times New Roman" w:hAnsi="Times New Roman" w:cs="Times New Roman"/>
        </w:rPr>
        <w:fldChar w:fldCharType="end"/>
      </w:r>
      <w:r w:rsidRPr="008C17AC">
        <w:rPr>
          <w:rFonts w:ascii="Times New Roman" w:eastAsia="Times New Roman" w:hAnsi="Times New Roman" w:cs="Times New Roman"/>
        </w:rPr>
        <w:t>.</w:t>
      </w:r>
      <w:r w:rsidR="3E60FCF8" w:rsidRPr="008C17AC">
        <w:rPr>
          <w:rFonts w:ascii="Times New Roman" w:eastAsia="Times New Roman" w:hAnsi="Times New Roman" w:cs="Times New Roman"/>
        </w:rPr>
        <w:t xml:space="preserve"> Some of these outcomes, such as preregistration, have also been included in other studies as interventions.</w:t>
      </w:r>
    </w:p>
    <w:p w14:paraId="0A7D9D8E" w14:textId="4563A5A7" w:rsidR="009138A3" w:rsidRPr="008C17AC" w:rsidRDefault="59C305A2" w:rsidP="23EF21E2">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b/>
          <w:bCs/>
          <w:i/>
          <w:iCs/>
        </w:rPr>
        <w:t>Outcomes not retrieved</w:t>
      </w:r>
    </w:p>
    <w:p w14:paraId="5B4048BB" w14:textId="69A82649" w:rsidR="00832097" w:rsidRPr="008C17AC" w:rsidRDefault="0386AAF0" w:rsidP="1A6C9FDE">
      <w:pPr>
        <w:spacing w:after="120" w:line="360" w:lineRule="auto"/>
        <w:ind w:left="-20" w:right="-20"/>
        <w:rPr>
          <w:rFonts w:ascii="Times New Roman" w:eastAsia="Times New Roman" w:hAnsi="Times New Roman" w:cs="Times New Roman"/>
        </w:rPr>
      </w:pPr>
      <w:r w:rsidRPr="008C17AC">
        <w:rPr>
          <w:rFonts w:ascii="Times New Roman" w:eastAsia="Times New Roman" w:hAnsi="Times New Roman" w:cs="Times New Roman"/>
        </w:rPr>
        <w:t>C</w:t>
      </w:r>
      <w:r w:rsidR="2A40D92B" w:rsidRPr="008C17AC">
        <w:rPr>
          <w:rFonts w:ascii="Times New Roman" w:eastAsia="Times New Roman" w:hAnsi="Times New Roman" w:cs="Times New Roman"/>
        </w:rPr>
        <w:t xml:space="preserve">ontrary to our initial list of interventions, most of the items on our initial list of outcomes </w:t>
      </w:r>
      <w:r w:rsidR="1F04CB98" w:rsidRPr="008C17AC">
        <w:rPr>
          <w:rFonts w:ascii="Times New Roman" w:eastAsia="Times New Roman" w:hAnsi="Times New Roman" w:cs="Times New Roman"/>
        </w:rPr>
        <w:t>were</w:t>
      </w:r>
      <w:r w:rsidR="2A40D92B" w:rsidRPr="008C17AC">
        <w:rPr>
          <w:rFonts w:ascii="Times New Roman" w:eastAsia="Times New Roman" w:hAnsi="Times New Roman" w:cs="Times New Roman"/>
        </w:rPr>
        <w:t xml:space="preserve"> investigated. We did not retrieve any </w:t>
      </w:r>
      <w:r w:rsidR="019CBDE1" w:rsidRPr="008C17AC">
        <w:rPr>
          <w:rFonts w:ascii="Times New Roman" w:eastAsia="Times New Roman" w:hAnsi="Times New Roman" w:cs="Times New Roman"/>
        </w:rPr>
        <w:t xml:space="preserve">studies that </w:t>
      </w:r>
      <w:r w:rsidR="64B261FA" w:rsidRPr="008C17AC">
        <w:rPr>
          <w:rFonts w:ascii="Times New Roman" w:eastAsia="Times New Roman" w:hAnsi="Times New Roman" w:cs="Times New Roman"/>
        </w:rPr>
        <w:t xml:space="preserve">directly </w:t>
      </w:r>
      <w:r w:rsidR="019CBDE1" w:rsidRPr="008C17AC">
        <w:rPr>
          <w:rFonts w:ascii="Times New Roman" w:eastAsia="Times New Roman" w:hAnsi="Times New Roman" w:cs="Times New Roman"/>
        </w:rPr>
        <w:t xml:space="preserve">investigated </w:t>
      </w:r>
      <w:r w:rsidR="2A40D92B" w:rsidRPr="008C17AC">
        <w:rPr>
          <w:rFonts w:ascii="Times New Roman" w:eastAsia="Times New Roman" w:hAnsi="Times New Roman" w:cs="Times New Roman"/>
        </w:rPr>
        <w:t xml:space="preserve">the effect of interventions on methodological </w:t>
      </w:r>
      <w:r w:rsidR="0CC661C0" w:rsidRPr="008C17AC">
        <w:rPr>
          <w:rFonts w:ascii="Times New Roman" w:eastAsia="Times New Roman" w:hAnsi="Times New Roman" w:cs="Times New Roman"/>
        </w:rPr>
        <w:t xml:space="preserve">or inferential </w:t>
      </w:r>
      <w:r w:rsidR="2A40D92B" w:rsidRPr="008C17AC">
        <w:rPr>
          <w:rFonts w:ascii="Times New Roman" w:eastAsia="Times New Roman" w:hAnsi="Times New Roman" w:cs="Times New Roman"/>
        </w:rPr>
        <w:t>reproducibility</w:t>
      </w:r>
      <w:r w:rsidR="04181A95" w:rsidRPr="008C17AC">
        <w:rPr>
          <w:rFonts w:ascii="Times New Roman" w:eastAsia="Times New Roman" w:hAnsi="Times New Roman" w:cs="Times New Roman"/>
        </w:rPr>
        <w:t xml:space="preserve">, </w:t>
      </w:r>
      <w:r w:rsidR="5BF18745" w:rsidRPr="008C17AC">
        <w:rPr>
          <w:rFonts w:ascii="Times New Roman" w:eastAsia="Times New Roman" w:hAnsi="Times New Roman" w:cs="Times New Roman"/>
        </w:rPr>
        <w:t xml:space="preserve">and we did not retrieve any </w:t>
      </w:r>
      <w:r w:rsidR="4334F4F5" w:rsidRPr="008C17AC">
        <w:rPr>
          <w:rFonts w:ascii="Times New Roman" w:eastAsia="Times New Roman" w:hAnsi="Times New Roman" w:cs="Times New Roman"/>
        </w:rPr>
        <w:t xml:space="preserve">studies </w:t>
      </w:r>
      <w:r w:rsidR="5BF18745" w:rsidRPr="008C17AC">
        <w:rPr>
          <w:rFonts w:ascii="Times New Roman" w:eastAsia="Times New Roman" w:hAnsi="Times New Roman" w:cs="Times New Roman"/>
        </w:rPr>
        <w:t xml:space="preserve">on the proxy outcomes </w:t>
      </w:r>
      <w:r w:rsidR="04181A95" w:rsidRPr="008C17AC">
        <w:rPr>
          <w:rFonts w:ascii="Times New Roman" w:eastAsia="Times New Roman" w:hAnsi="Times New Roman" w:cs="Times New Roman"/>
        </w:rPr>
        <w:t>registered reports, post-study peer review, reproducibility checks, data management plans and software shar</w:t>
      </w:r>
      <w:r w:rsidR="17792EB6" w:rsidRPr="008C17AC">
        <w:rPr>
          <w:rFonts w:ascii="Times New Roman" w:eastAsia="Times New Roman" w:hAnsi="Times New Roman" w:cs="Times New Roman"/>
        </w:rPr>
        <w:t>ing.</w:t>
      </w:r>
      <w:r w:rsidR="63ACDA09" w:rsidRPr="008C17AC">
        <w:rPr>
          <w:rFonts w:ascii="Times New Roman" w:eastAsia="Times New Roman" w:hAnsi="Times New Roman" w:cs="Times New Roman"/>
        </w:rPr>
        <w:t xml:space="preserve"> </w:t>
      </w:r>
    </w:p>
    <w:p w14:paraId="5FB7C654" w14:textId="77777777" w:rsidR="00832097" w:rsidRPr="008C17AC" w:rsidRDefault="00832097" w:rsidP="23EF21E2">
      <w:pPr>
        <w:spacing w:after="120" w:line="360" w:lineRule="auto"/>
        <w:ind w:left="-20" w:right="-20"/>
        <w:rPr>
          <w:rFonts w:ascii="Times New Roman" w:eastAsia="Times New Roman" w:hAnsi="Times New Roman" w:cs="Times New Roman"/>
          <w:b/>
          <w:bCs/>
        </w:rPr>
      </w:pPr>
    </w:p>
    <w:p w14:paraId="59BCA92B" w14:textId="4C331BA1" w:rsidR="356A974C" w:rsidRPr="008C17AC" w:rsidRDefault="1BBEF4BB" w:rsidP="23EF21E2">
      <w:pPr>
        <w:spacing w:after="120" w:line="360" w:lineRule="auto"/>
        <w:ind w:left="-20" w:right="-20"/>
        <w:rPr>
          <w:rFonts w:ascii="Times New Roman" w:eastAsia="Times New Roman" w:hAnsi="Times New Roman" w:cs="Times New Roman"/>
          <w:b/>
          <w:bCs/>
        </w:rPr>
      </w:pPr>
      <w:r w:rsidRPr="008C17AC">
        <w:rPr>
          <w:rFonts w:ascii="Times New Roman" w:eastAsia="Times New Roman" w:hAnsi="Times New Roman" w:cs="Times New Roman"/>
          <w:b/>
          <w:bCs/>
        </w:rPr>
        <w:lastRenderedPageBreak/>
        <w:t xml:space="preserve">Table </w:t>
      </w:r>
      <w:r w:rsidR="006F3AEA" w:rsidRPr="008C17AC">
        <w:rPr>
          <w:rFonts w:ascii="Times New Roman" w:eastAsia="Times New Roman" w:hAnsi="Times New Roman" w:cs="Times New Roman"/>
          <w:b/>
          <w:bCs/>
        </w:rPr>
        <w:t>3</w:t>
      </w:r>
      <w:r w:rsidR="00980907" w:rsidRPr="008C17AC">
        <w:rPr>
          <w:rFonts w:ascii="Times New Roman" w:eastAsia="Times New Roman" w:hAnsi="Times New Roman" w:cs="Times New Roman"/>
          <w:b/>
          <w:bCs/>
        </w:rPr>
        <w:t>.</w:t>
      </w:r>
      <w:r w:rsidRPr="008C17AC">
        <w:rPr>
          <w:rFonts w:ascii="Times New Roman" w:eastAsia="Times New Roman" w:hAnsi="Times New Roman" w:cs="Times New Roman"/>
          <w:b/>
          <w:bCs/>
        </w:rPr>
        <w:t xml:space="preserve"> List of outcomes</w:t>
      </w:r>
      <w:r w:rsidR="00302071" w:rsidRPr="008C17AC">
        <w:rPr>
          <w:rFonts w:ascii="Times New Roman" w:eastAsia="Times New Roman" w:hAnsi="Times New Roman" w:cs="Times New Roman"/>
          <w:b/>
          <w:bCs/>
        </w:rPr>
        <w:t xml:space="preserve"> investigated in the included studies (n=104)</w:t>
      </w:r>
      <w:r w:rsidR="00980907" w:rsidRPr="008C17AC">
        <w:rPr>
          <w:rFonts w:ascii="Times New Roman" w:eastAsia="Times New Roman" w:hAnsi="Times New Roman" w:cs="Times New Roman"/>
          <w:b/>
          <w:bCs/>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4A0" w:firstRow="1" w:lastRow="0" w:firstColumn="1" w:lastColumn="0" w:noHBand="0" w:noVBand="1"/>
      </w:tblPr>
      <w:tblGrid>
        <w:gridCol w:w="2547"/>
        <w:gridCol w:w="5103"/>
        <w:gridCol w:w="567"/>
        <w:gridCol w:w="850"/>
      </w:tblGrid>
      <w:tr w:rsidR="006F3AEA" w:rsidRPr="008C17AC" w14:paraId="6D0F391F" w14:textId="77777777" w:rsidTr="1A6C9FDE">
        <w:trPr>
          <w:trHeight w:val="227"/>
        </w:trPr>
        <w:tc>
          <w:tcPr>
            <w:tcW w:w="2547" w:type="dxa"/>
            <w:shd w:val="clear" w:color="auto" w:fill="auto"/>
            <w:hideMark/>
          </w:tcPr>
          <w:p w14:paraId="5A2412E2" w14:textId="3CA4CDCE" w:rsidR="006F3AEA" w:rsidRPr="008C17AC" w:rsidRDefault="781B457B" w:rsidP="23EF21E2">
            <w:pPr>
              <w:spacing w:after="0" w:line="240" w:lineRule="auto"/>
              <w:rPr>
                <w:rFonts w:ascii="Times New Roman" w:eastAsia="Times New Roman" w:hAnsi="Times New Roman" w:cs="Times New Roman"/>
                <w:b/>
                <w:bCs/>
                <w:lang w:eastAsia="nl-NL"/>
              </w:rPr>
            </w:pPr>
            <w:r w:rsidRPr="008C17AC">
              <w:rPr>
                <w:rFonts w:ascii="Times New Roman" w:eastAsia="Times New Roman" w:hAnsi="Times New Roman" w:cs="Times New Roman"/>
                <w:b/>
                <w:bCs/>
                <w:lang w:eastAsia="nl-NL"/>
              </w:rPr>
              <w:t xml:space="preserve">Outcome </w:t>
            </w:r>
            <w:r w:rsidR="343AB437" w:rsidRPr="008C17AC">
              <w:rPr>
                <w:rFonts w:ascii="Times New Roman" w:eastAsia="Times New Roman" w:hAnsi="Times New Roman" w:cs="Times New Roman"/>
                <w:b/>
                <w:bCs/>
                <w:lang w:eastAsia="nl-NL"/>
              </w:rPr>
              <w:t>domain</w:t>
            </w:r>
          </w:p>
        </w:tc>
        <w:tc>
          <w:tcPr>
            <w:tcW w:w="5103" w:type="dxa"/>
            <w:shd w:val="clear" w:color="auto" w:fill="auto"/>
            <w:hideMark/>
          </w:tcPr>
          <w:p w14:paraId="34F5580C" w14:textId="3675DBB3" w:rsidR="006F3AEA" w:rsidRPr="008C17AC" w:rsidRDefault="573225AF" w:rsidP="00470A84">
            <w:pPr>
              <w:spacing w:after="0" w:line="240" w:lineRule="auto"/>
              <w:rPr>
                <w:rFonts w:ascii="Times New Roman" w:eastAsia="Times New Roman" w:hAnsi="Times New Roman" w:cs="Times New Roman"/>
                <w:b/>
                <w:bCs/>
                <w:lang w:eastAsia="nl-NL"/>
              </w:rPr>
            </w:pPr>
            <w:r w:rsidRPr="008C17AC">
              <w:rPr>
                <w:rFonts w:ascii="Times New Roman" w:eastAsia="Times New Roman" w:hAnsi="Times New Roman" w:cs="Times New Roman"/>
                <w:b/>
                <w:bCs/>
                <w:lang w:eastAsia="nl-NL"/>
              </w:rPr>
              <w:t>Outcomes</w:t>
            </w:r>
          </w:p>
        </w:tc>
        <w:tc>
          <w:tcPr>
            <w:tcW w:w="567" w:type="dxa"/>
            <w:shd w:val="clear" w:color="auto" w:fill="auto"/>
            <w:noWrap/>
            <w:hideMark/>
          </w:tcPr>
          <w:p w14:paraId="433F8612" w14:textId="6E9D0A0E" w:rsidR="006F3AEA" w:rsidRPr="008C17AC" w:rsidRDefault="005D2FE5" w:rsidP="00763479">
            <w:pPr>
              <w:spacing w:after="0" w:line="240" w:lineRule="auto"/>
              <w:jc w:val="center"/>
              <w:rPr>
                <w:rFonts w:ascii="Times New Roman" w:eastAsia="Times New Roman" w:hAnsi="Times New Roman" w:cs="Times New Roman"/>
                <w:b/>
                <w:bCs/>
                <w:lang w:eastAsia="nl-NL"/>
              </w:rPr>
            </w:pPr>
            <w:r w:rsidRPr="008C17AC">
              <w:rPr>
                <w:rFonts w:ascii="Times New Roman" w:eastAsia="Times New Roman" w:hAnsi="Times New Roman" w:cs="Times New Roman"/>
                <w:b/>
                <w:bCs/>
                <w:lang w:eastAsia="nl-NL"/>
              </w:rPr>
              <w:t>n</w:t>
            </w:r>
          </w:p>
        </w:tc>
        <w:tc>
          <w:tcPr>
            <w:tcW w:w="850" w:type="dxa"/>
            <w:shd w:val="clear" w:color="auto" w:fill="auto"/>
            <w:noWrap/>
            <w:hideMark/>
          </w:tcPr>
          <w:p w14:paraId="770745D7" w14:textId="77777777" w:rsidR="006F3AEA" w:rsidRPr="008C17AC" w:rsidRDefault="006F3AEA" w:rsidP="00763479">
            <w:pPr>
              <w:spacing w:after="0" w:line="240" w:lineRule="auto"/>
              <w:jc w:val="center"/>
              <w:rPr>
                <w:rFonts w:ascii="Times New Roman" w:eastAsia="Times New Roman" w:hAnsi="Times New Roman" w:cs="Times New Roman"/>
                <w:b/>
                <w:bCs/>
                <w:lang w:eastAsia="nl-NL"/>
              </w:rPr>
            </w:pPr>
            <w:r w:rsidRPr="008C17AC">
              <w:rPr>
                <w:rFonts w:ascii="Times New Roman" w:eastAsia="Times New Roman" w:hAnsi="Times New Roman" w:cs="Times New Roman"/>
                <w:b/>
                <w:bCs/>
                <w:lang w:eastAsia="nl-NL"/>
              </w:rPr>
              <w:t>%</w:t>
            </w:r>
          </w:p>
        </w:tc>
      </w:tr>
      <w:tr w:rsidR="006F3AEA" w:rsidRPr="008C17AC" w14:paraId="52F8D4AF" w14:textId="77777777" w:rsidTr="1A6C9FDE">
        <w:trPr>
          <w:trHeight w:val="227"/>
        </w:trPr>
        <w:tc>
          <w:tcPr>
            <w:tcW w:w="2547" w:type="dxa"/>
            <w:vMerge w:val="restart"/>
            <w:shd w:val="clear" w:color="auto" w:fill="auto"/>
            <w:noWrap/>
            <w:hideMark/>
          </w:tcPr>
          <w:p w14:paraId="7C0F4961" w14:textId="77777777" w:rsidR="006F3AEA" w:rsidRPr="008C17AC" w:rsidRDefault="006F3AEA" w:rsidP="006072AF">
            <w:pPr>
              <w:spacing w:after="0" w:line="240"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Reproducibility</w:t>
            </w:r>
          </w:p>
        </w:tc>
        <w:tc>
          <w:tcPr>
            <w:tcW w:w="5103" w:type="dxa"/>
            <w:shd w:val="clear" w:color="auto" w:fill="auto"/>
            <w:hideMark/>
          </w:tcPr>
          <w:p w14:paraId="717EF676" w14:textId="77777777" w:rsidR="006F3AEA" w:rsidRPr="008C17AC" w:rsidRDefault="1BD27CB7" w:rsidP="23EF21E2">
            <w:pPr>
              <w:spacing w:after="0" w:line="240"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Inferential reproducibility</w:t>
            </w:r>
          </w:p>
        </w:tc>
        <w:tc>
          <w:tcPr>
            <w:tcW w:w="567" w:type="dxa"/>
            <w:shd w:val="clear" w:color="auto" w:fill="auto"/>
            <w:noWrap/>
            <w:hideMark/>
          </w:tcPr>
          <w:p w14:paraId="2EC2002F"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w:t>
            </w:r>
          </w:p>
        </w:tc>
        <w:tc>
          <w:tcPr>
            <w:tcW w:w="850" w:type="dxa"/>
            <w:shd w:val="clear" w:color="auto" w:fill="auto"/>
            <w:noWrap/>
            <w:hideMark/>
          </w:tcPr>
          <w:p w14:paraId="638DD387"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0.96</w:t>
            </w:r>
          </w:p>
        </w:tc>
      </w:tr>
      <w:tr w:rsidR="008C17AC" w:rsidRPr="008C17AC" w14:paraId="09705F6B" w14:textId="77777777" w:rsidTr="1A6C9FDE">
        <w:trPr>
          <w:trHeight w:val="227"/>
        </w:trPr>
        <w:tc>
          <w:tcPr>
            <w:tcW w:w="2547" w:type="dxa"/>
            <w:vMerge/>
            <w:hideMark/>
          </w:tcPr>
          <w:p w14:paraId="2F0413F8" w14:textId="77777777" w:rsidR="006F3AEA" w:rsidRPr="008C17AC" w:rsidRDefault="006F3AEA" w:rsidP="006072AF">
            <w:pPr>
              <w:spacing w:after="0" w:line="240" w:lineRule="auto"/>
              <w:rPr>
                <w:rFonts w:ascii="Times New Roman" w:eastAsia="Times New Roman" w:hAnsi="Times New Roman" w:cs="Times New Roman"/>
                <w:lang w:eastAsia="nl-NL"/>
              </w:rPr>
            </w:pPr>
          </w:p>
        </w:tc>
        <w:tc>
          <w:tcPr>
            <w:tcW w:w="5103" w:type="dxa"/>
            <w:shd w:val="clear" w:color="auto" w:fill="auto"/>
            <w:hideMark/>
          </w:tcPr>
          <w:p w14:paraId="4A7ED521" w14:textId="73DBB55B" w:rsidR="006F3AEA" w:rsidRPr="008C17AC" w:rsidRDefault="1BD27CB7" w:rsidP="23EF21E2">
            <w:pPr>
              <w:spacing w:after="0" w:line="240"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Result</w:t>
            </w:r>
            <w:r w:rsidR="00F723C6" w:rsidRPr="008C17AC">
              <w:rPr>
                <w:rFonts w:ascii="Times New Roman" w:eastAsia="Times New Roman" w:hAnsi="Times New Roman" w:cs="Times New Roman"/>
                <w:lang w:eastAsia="nl-NL"/>
              </w:rPr>
              <w:t>s</w:t>
            </w:r>
            <w:r w:rsidRPr="008C17AC">
              <w:rPr>
                <w:rFonts w:ascii="Times New Roman" w:eastAsia="Times New Roman" w:hAnsi="Times New Roman" w:cs="Times New Roman"/>
                <w:lang w:eastAsia="nl-NL"/>
              </w:rPr>
              <w:t xml:space="preserve"> reproducibility</w:t>
            </w:r>
          </w:p>
        </w:tc>
        <w:tc>
          <w:tcPr>
            <w:tcW w:w="567" w:type="dxa"/>
            <w:shd w:val="clear" w:color="auto" w:fill="auto"/>
            <w:noWrap/>
            <w:hideMark/>
          </w:tcPr>
          <w:p w14:paraId="7EC32A20"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8</w:t>
            </w:r>
          </w:p>
        </w:tc>
        <w:tc>
          <w:tcPr>
            <w:tcW w:w="850" w:type="dxa"/>
            <w:shd w:val="clear" w:color="auto" w:fill="auto"/>
            <w:noWrap/>
            <w:hideMark/>
          </w:tcPr>
          <w:p w14:paraId="20341758"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7.69</w:t>
            </w:r>
          </w:p>
        </w:tc>
      </w:tr>
      <w:tr w:rsidR="008C17AC" w:rsidRPr="008C17AC" w14:paraId="5B607B60" w14:textId="77777777" w:rsidTr="1A6C9FDE">
        <w:trPr>
          <w:trHeight w:val="227"/>
        </w:trPr>
        <w:tc>
          <w:tcPr>
            <w:tcW w:w="2547" w:type="dxa"/>
            <w:shd w:val="clear" w:color="auto" w:fill="auto"/>
            <w:noWrap/>
            <w:hideMark/>
          </w:tcPr>
          <w:p w14:paraId="3709342F" w14:textId="77777777" w:rsidR="006F3AEA" w:rsidRPr="008C17AC" w:rsidRDefault="1BD27CB7" w:rsidP="006072AF">
            <w:pPr>
              <w:spacing w:after="0" w:line="240"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Replicability</w:t>
            </w:r>
          </w:p>
        </w:tc>
        <w:tc>
          <w:tcPr>
            <w:tcW w:w="5103" w:type="dxa"/>
            <w:shd w:val="clear" w:color="auto" w:fill="auto"/>
            <w:hideMark/>
          </w:tcPr>
          <w:p w14:paraId="7723BE45" w14:textId="04546D3B" w:rsidR="006F3AEA" w:rsidRPr="008C17AC" w:rsidRDefault="1BD27CB7" w:rsidP="23EF21E2">
            <w:pPr>
              <w:spacing w:after="0" w:line="240"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Result</w:t>
            </w:r>
            <w:r w:rsidR="00DF1ED0" w:rsidRPr="008C17AC">
              <w:rPr>
                <w:rFonts w:ascii="Times New Roman" w:eastAsia="Times New Roman" w:hAnsi="Times New Roman" w:cs="Times New Roman"/>
                <w:lang w:eastAsia="nl-NL"/>
              </w:rPr>
              <w:t>s</w:t>
            </w:r>
            <w:r w:rsidR="00470A84" w:rsidRPr="008C17AC">
              <w:rPr>
                <w:rFonts w:ascii="Times New Roman" w:eastAsia="Times New Roman" w:hAnsi="Times New Roman" w:cs="Times New Roman"/>
                <w:lang w:eastAsia="nl-NL"/>
              </w:rPr>
              <w:t xml:space="preserve"> replicability</w:t>
            </w:r>
          </w:p>
        </w:tc>
        <w:tc>
          <w:tcPr>
            <w:tcW w:w="567" w:type="dxa"/>
            <w:shd w:val="clear" w:color="auto" w:fill="auto"/>
            <w:noWrap/>
            <w:hideMark/>
          </w:tcPr>
          <w:p w14:paraId="31475D0C"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2</w:t>
            </w:r>
          </w:p>
        </w:tc>
        <w:tc>
          <w:tcPr>
            <w:tcW w:w="850" w:type="dxa"/>
            <w:shd w:val="clear" w:color="auto" w:fill="auto"/>
            <w:noWrap/>
            <w:hideMark/>
          </w:tcPr>
          <w:p w14:paraId="19C95221"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1.92</w:t>
            </w:r>
          </w:p>
        </w:tc>
      </w:tr>
      <w:tr w:rsidR="00226D3F" w:rsidRPr="008C17AC" w14:paraId="38E41873" w14:textId="77777777" w:rsidTr="1A6C9FDE">
        <w:trPr>
          <w:trHeight w:val="227"/>
        </w:trPr>
        <w:tc>
          <w:tcPr>
            <w:tcW w:w="2547" w:type="dxa"/>
            <w:vMerge w:val="restart"/>
            <w:shd w:val="clear" w:color="auto" w:fill="auto"/>
            <w:noWrap/>
            <w:hideMark/>
          </w:tcPr>
          <w:p w14:paraId="1F6A0558" w14:textId="00C4A3FD" w:rsidR="00226D3F" w:rsidRPr="008C17AC" w:rsidRDefault="00226D3F" w:rsidP="006072AF">
            <w:pPr>
              <w:spacing w:after="0" w:line="240"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Other direct outcome</w:t>
            </w:r>
          </w:p>
        </w:tc>
        <w:tc>
          <w:tcPr>
            <w:tcW w:w="5103" w:type="dxa"/>
            <w:shd w:val="clear" w:color="auto" w:fill="auto"/>
            <w:hideMark/>
          </w:tcPr>
          <w:p w14:paraId="415BB0EC" w14:textId="05FB3825" w:rsidR="00226D3F" w:rsidRPr="008C17AC" w:rsidRDefault="00226D3F" w:rsidP="23EF21E2">
            <w:pPr>
              <w:spacing w:after="0" w:line="240"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Statistical inconsistencies</w:t>
            </w:r>
          </w:p>
        </w:tc>
        <w:tc>
          <w:tcPr>
            <w:tcW w:w="567" w:type="dxa"/>
            <w:shd w:val="clear" w:color="auto" w:fill="auto"/>
            <w:noWrap/>
            <w:hideMark/>
          </w:tcPr>
          <w:p w14:paraId="759F3129" w14:textId="6B0B006A" w:rsidR="00226D3F" w:rsidRPr="008C17AC" w:rsidRDefault="00226D3F"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3</w:t>
            </w:r>
          </w:p>
        </w:tc>
        <w:tc>
          <w:tcPr>
            <w:tcW w:w="850" w:type="dxa"/>
            <w:shd w:val="clear" w:color="auto" w:fill="auto"/>
            <w:noWrap/>
            <w:hideMark/>
          </w:tcPr>
          <w:p w14:paraId="772DF384" w14:textId="2B448112" w:rsidR="00226D3F" w:rsidRPr="008C17AC" w:rsidRDefault="00226D3F"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2.88</w:t>
            </w:r>
          </w:p>
        </w:tc>
      </w:tr>
      <w:tr w:rsidR="008C17AC" w:rsidRPr="008C17AC" w14:paraId="7BB6D921" w14:textId="77777777" w:rsidTr="1A6C9FDE">
        <w:trPr>
          <w:trHeight w:val="227"/>
        </w:trPr>
        <w:tc>
          <w:tcPr>
            <w:tcW w:w="2547" w:type="dxa"/>
            <w:vMerge/>
            <w:noWrap/>
          </w:tcPr>
          <w:p w14:paraId="521C3C99" w14:textId="77777777" w:rsidR="00226D3F" w:rsidRPr="008C17AC" w:rsidRDefault="00226D3F" w:rsidP="006072AF">
            <w:pPr>
              <w:spacing w:after="0" w:line="240" w:lineRule="auto"/>
              <w:rPr>
                <w:rFonts w:ascii="Times New Roman" w:eastAsia="Times New Roman" w:hAnsi="Times New Roman" w:cs="Times New Roman"/>
                <w:lang w:eastAsia="nl-NL"/>
              </w:rPr>
            </w:pPr>
          </w:p>
        </w:tc>
        <w:tc>
          <w:tcPr>
            <w:tcW w:w="5103" w:type="dxa"/>
            <w:shd w:val="clear" w:color="auto" w:fill="auto"/>
          </w:tcPr>
          <w:p w14:paraId="204DA9C0" w14:textId="00AC7D08" w:rsidR="00226D3F" w:rsidRPr="008C17AC" w:rsidRDefault="00226D3F" w:rsidP="23EF21E2">
            <w:pPr>
              <w:spacing w:after="0" w:line="240"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Type-I error reduction</w:t>
            </w:r>
          </w:p>
        </w:tc>
        <w:tc>
          <w:tcPr>
            <w:tcW w:w="567" w:type="dxa"/>
            <w:shd w:val="clear" w:color="auto" w:fill="auto"/>
            <w:noWrap/>
          </w:tcPr>
          <w:p w14:paraId="5E76015E" w14:textId="5D52E840" w:rsidR="00226D3F" w:rsidRPr="008C17AC" w:rsidRDefault="00226D3F"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w:t>
            </w:r>
          </w:p>
        </w:tc>
        <w:tc>
          <w:tcPr>
            <w:tcW w:w="850" w:type="dxa"/>
            <w:shd w:val="clear" w:color="auto" w:fill="auto"/>
            <w:noWrap/>
          </w:tcPr>
          <w:p w14:paraId="701F4C16" w14:textId="4133F461" w:rsidR="00226D3F" w:rsidRPr="008C17AC" w:rsidRDefault="00226D3F"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0.96</w:t>
            </w:r>
          </w:p>
        </w:tc>
      </w:tr>
      <w:tr w:rsidR="008C17AC" w:rsidRPr="008C17AC" w14:paraId="10F89CCF" w14:textId="77777777" w:rsidTr="1A6C9FDE">
        <w:trPr>
          <w:trHeight w:val="227"/>
        </w:trPr>
        <w:tc>
          <w:tcPr>
            <w:tcW w:w="2547" w:type="dxa"/>
            <w:shd w:val="clear" w:color="auto" w:fill="auto"/>
            <w:hideMark/>
          </w:tcPr>
          <w:p w14:paraId="218AB33E" w14:textId="04079EBD" w:rsidR="006F3AEA" w:rsidRPr="008C17AC" w:rsidRDefault="1BD27CB7" w:rsidP="006072AF">
            <w:pPr>
              <w:spacing w:after="0" w:line="240"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 xml:space="preserve">Registration </w:t>
            </w:r>
            <w:r w:rsidR="005D1C12" w:rsidRPr="008C17AC">
              <w:rPr>
                <w:rFonts w:ascii="Times New Roman" w:eastAsia="Times New Roman" w:hAnsi="Times New Roman" w:cs="Times New Roman"/>
                <w:lang w:eastAsia="nl-NL"/>
              </w:rPr>
              <w:t>s</w:t>
            </w:r>
            <w:r w:rsidRPr="008C17AC">
              <w:rPr>
                <w:rFonts w:ascii="Times New Roman" w:eastAsia="Times New Roman" w:hAnsi="Times New Roman" w:cs="Times New Roman"/>
                <w:lang w:eastAsia="nl-NL"/>
              </w:rPr>
              <w:t>tatus</w:t>
            </w:r>
          </w:p>
        </w:tc>
        <w:tc>
          <w:tcPr>
            <w:tcW w:w="5103" w:type="dxa"/>
            <w:shd w:val="clear" w:color="auto" w:fill="auto"/>
            <w:hideMark/>
          </w:tcPr>
          <w:p w14:paraId="610B2597" w14:textId="77777777" w:rsidR="006F3AEA" w:rsidRPr="008C17AC" w:rsidRDefault="1BD27CB7" w:rsidP="00470A84">
            <w:pPr>
              <w:spacing w:after="0" w:line="240"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Pre-registration</w:t>
            </w:r>
          </w:p>
        </w:tc>
        <w:tc>
          <w:tcPr>
            <w:tcW w:w="567" w:type="dxa"/>
            <w:shd w:val="clear" w:color="auto" w:fill="auto"/>
            <w:noWrap/>
            <w:hideMark/>
          </w:tcPr>
          <w:p w14:paraId="03AE0A6B"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4</w:t>
            </w:r>
          </w:p>
        </w:tc>
        <w:tc>
          <w:tcPr>
            <w:tcW w:w="850" w:type="dxa"/>
            <w:shd w:val="clear" w:color="auto" w:fill="auto"/>
            <w:noWrap/>
            <w:hideMark/>
          </w:tcPr>
          <w:p w14:paraId="46D26850"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3.85</w:t>
            </w:r>
          </w:p>
        </w:tc>
      </w:tr>
      <w:tr w:rsidR="008C17AC" w:rsidRPr="008C17AC" w14:paraId="650B637A" w14:textId="77777777" w:rsidTr="1A6C9FDE">
        <w:trPr>
          <w:trHeight w:val="227"/>
        </w:trPr>
        <w:tc>
          <w:tcPr>
            <w:tcW w:w="2547" w:type="dxa"/>
            <w:vMerge w:val="restart"/>
            <w:shd w:val="clear" w:color="auto" w:fill="auto"/>
            <w:hideMark/>
          </w:tcPr>
          <w:p w14:paraId="2CA45936" w14:textId="77777777" w:rsidR="006F3AEA" w:rsidRPr="008C17AC" w:rsidRDefault="1BD27CB7" w:rsidP="006072AF">
            <w:pPr>
              <w:spacing w:after="0" w:line="240"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Methods transparency</w:t>
            </w:r>
          </w:p>
        </w:tc>
        <w:tc>
          <w:tcPr>
            <w:tcW w:w="5103" w:type="dxa"/>
            <w:shd w:val="clear" w:color="auto" w:fill="auto"/>
            <w:vAlign w:val="center"/>
            <w:hideMark/>
          </w:tcPr>
          <w:p w14:paraId="37FF464F" w14:textId="67F9E111" w:rsidR="006F3AEA" w:rsidRPr="008C17AC" w:rsidRDefault="1BD27CB7" w:rsidP="23EF21E2">
            <w:pPr>
              <w:spacing w:after="0" w:line="240"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Analysis</w:t>
            </w:r>
            <w:r w:rsidR="00CE6B61" w:rsidRPr="008C17AC">
              <w:rPr>
                <w:rFonts w:ascii="Times New Roman" w:eastAsia="Times New Roman" w:hAnsi="Times New Roman" w:cs="Times New Roman"/>
                <w:lang w:eastAsia="nl-NL"/>
              </w:rPr>
              <w:t xml:space="preserve"> </w:t>
            </w:r>
            <w:r w:rsidRPr="008C17AC">
              <w:rPr>
                <w:rFonts w:ascii="Times New Roman" w:eastAsia="Times New Roman" w:hAnsi="Times New Roman" w:cs="Times New Roman"/>
                <w:lang w:eastAsia="nl-NL"/>
              </w:rPr>
              <w:t>transparency</w:t>
            </w:r>
          </w:p>
        </w:tc>
        <w:tc>
          <w:tcPr>
            <w:tcW w:w="567" w:type="dxa"/>
            <w:shd w:val="clear" w:color="auto" w:fill="auto"/>
            <w:noWrap/>
            <w:hideMark/>
          </w:tcPr>
          <w:p w14:paraId="5739086F"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w:t>
            </w:r>
          </w:p>
        </w:tc>
        <w:tc>
          <w:tcPr>
            <w:tcW w:w="850" w:type="dxa"/>
            <w:shd w:val="clear" w:color="auto" w:fill="auto"/>
            <w:noWrap/>
            <w:hideMark/>
          </w:tcPr>
          <w:p w14:paraId="42056BF5"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0.96</w:t>
            </w:r>
          </w:p>
        </w:tc>
      </w:tr>
      <w:tr w:rsidR="006F3AEA" w:rsidRPr="008C17AC" w14:paraId="03B53C9A" w14:textId="77777777" w:rsidTr="1A6C9FDE">
        <w:trPr>
          <w:trHeight w:val="227"/>
        </w:trPr>
        <w:tc>
          <w:tcPr>
            <w:tcW w:w="2547" w:type="dxa"/>
            <w:vMerge/>
            <w:hideMark/>
          </w:tcPr>
          <w:p w14:paraId="00F4387C" w14:textId="77777777" w:rsidR="006F3AEA" w:rsidRPr="008C17AC" w:rsidRDefault="006F3AEA" w:rsidP="006072AF">
            <w:pPr>
              <w:spacing w:after="0" w:line="240" w:lineRule="auto"/>
              <w:rPr>
                <w:rFonts w:ascii="Times New Roman" w:eastAsia="Times New Roman" w:hAnsi="Times New Roman" w:cs="Times New Roman"/>
                <w:lang w:eastAsia="nl-NL"/>
              </w:rPr>
            </w:pPr>
          </w:p>
        </w:tc>
        <w:tc>
          <w:tcPr>
            <w:tcW w:w="5103" w:type="dxa"/>
            <w:shd w:val="clear" w:color="auto" w:fill="auto"/>
            <w:vAlign w:val="center"/>
            <w:hideMark/>
          </w:tcPr>
          <w:p w14:paraId="34279582" w14:textId="77777777" w:rsidR="006F3AEA" w:rsidRPr="008C17AC" w:rsidRDefault="1BD27CB7" w:rsidP="23EF21E2">
            <w:pPr>
              <w:spacing w:after="0" w:line="240"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Design transparency</w:t>
            </w:r>
          </w:p>
        </w:tc>
        <w:tc>
          <w:tcPr>
            <w:tcW w:w="567" w:type="dxa"/>
            <w:shd w:val="clear" w:color="auto" w:fill="auto"/>
            <w:noWrap/>
            <w:hideMark/>
          </w:tcPr>
          <w:p w14:paraId="6D9F795C"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w:t>
            </w:r>
          </w:p>
        </w:tc>
        <w:tc>
          <w:tcPr>
            <w:tcW w:w="850" w:type="dxa"/>
            <w:shd w:val="clear" w:color="auto" w:fill="auto"/>
            <w:noWrap/>
            <w:hideMark/>
          </w:tcPr>
          <w:p w14:paraId="19FFC1A9"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0.96</w:t>
            </w:r>
          </w:p>
        </w:tc>
      </w:tr>
      <w:tr w:rsidR="006F3AEA" w:rsidRPr="008C17AC" w14:paraId="26CA2D95" w14:textId="77777777" w:rsidTr="1A6C9FDE">
        <w:trPr>
          <w:trHeight w:val="227"/>
        </w:trPr>
        <w:tc>
          <w:tcPr>
            <w:tcW w:w="2547" w:type="dxa"/>
            <w:vMerge/>
            <w:hideMark/>
          </w:tcPr>
          <w:p w14:paraId="5AE28901" w14:textId="77777777" w:rsidR="006F3AEA" w:rsidRPr="008C17AC" w:rsidRDefault="006F3AEA" w:rsidP="006072AF">
            <w:pPr>
              <w:spacing w:after="0" w:line="240" w:lineRule="auto"/>
              <w:rPr>
                <w:rFonts w:ascii="Times New Roman" w:eastAsia="Times New Roman" w:hAnsi="Times New Roman" w:cs="Times New Roman"/>
                <w:lang w:eastAsia="nl-NL"/>
              </w:rPr>
            </w:pPr>
          </w:p>
        </w:tc>
        <w:tc>
          <w:tcPr>
            <w:tcW w:w="5103" w:type="dxa"/>
            <w:shd w:val="clear" w:color="auto" w:fill="auto"/>
            <w:vAlign w:val="center"/>
            <w:hideMark/>
          </w:tcPr>
          <w:p w14:paraId="3FAED9E2" w14:textId="702462E8" w:rsidR="006F3AEA" w:rsidRPr="008C17AC" w:rsidRDefault="1BD27CB7" w:rsidP="23EF21E2">
            <w:pPr>
              <w:spacing w:after="0" w:line="240"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Research process</w:t>
            </w:r>
            <w:r w:rsidR="00507112" w:rsidRPr="008C17AC">
              <w:rPr>
                <w:rFonts w:ascii="Times New Roman" w:eastAsia="Times New Roman" w:hAnsi="Times New Roman" w:cs="Times New Roman"/>
                <w:lang w:eastAsia="nl-NL"/>
              </w:rPr>
              <w:t xml:space="preserve"> or</w:t>
            </w:r>
            <w:r w:rsidRPr="008C17AC">
              <w:rPr>
                <w:rFonts w:ascii="Times New Roman" w:eastAsia="Times New Roman" w:hAnsi="Times New Roman" w:cs="Times New Roman"/>
                <w:lang w:eastAsia="nl-NL"/>
              </w:rPr>
              <w:t xml:space="preserve"> workflow transparency</w:t>
            </w:r>
          </w:p>
        </w:tc>
        <w:tc>
          <w:tcPr>
            <w:tcW w:w="567" w:type="dxa"/>
            <w:shd w:val="clear" w:color="auto" w:fill="auto"/>
            <w:noWrap/>
            <w:hideMark/>
          </w:tcPr>
          <w:p w14:paraId="31E989DF"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w:t>
            </w:r>
          </w:p>
        </w:tc>
        <w:tc>
          <w:tcPr>
            <w:tcW w:w="850" w:type="dxa"/>
            <w:shd w:val="clear" w:color="auto" w:fill="auto"/>
            <w:noWrap/>
            <w:hideMark/>
          </w:tcPr>
          <w:p w14:paraId="675AF086"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0.96</w:t>
            </w:r>
          </w:p>
        </w:tc>
      </w:tr>
      <w:tr w:rsidR="008C17AC" w:rsidRPr="008C17AC" w14:paraId="10974A47" w14:textId="77777777" w:rsidTr="1A6C9FDE">
        <w:trPr>
          <w:trHeight w:val="227"/>
        </w:trPr>
        <w:tc>
          <w:tcPr>
            <w:tcW w:w="2547" w:type="dxa"/>
            <w:vMerge/>
            <w:hideMark/>
          </w:tcPr>
          <w:p w14:paraId="35436BFF" w14:textId="77777777" w:rsidR="006F3AEA" w:rsidRPr="008C17AC" w:rsidRDefault="006F3AEA" w:rsidP="006072AF">
            <w:pPr>
              <w:spacing w:after="0" w:line="240" w:lineRule="auto"/>
              <w:rPr>
                <w:rFonts w:ascii="Times New Roman" w:eastAsia="Times New Roman" w:hAnsi="Times New Roman" w:cs="Times New Roman"/>
                <w:lang w:eastAsia="nl-NL"/>
              </w:rPr>
            </w:pPr>
          </w:p>
        </w:tc>
        <w:tc>
          <w:tcPr>
            <w:tcW w:w="5103" w:type="dxa"/>
            <w:shd w:val="clear" w:color="auto" w:fill="auto"/>
            <w:hideMark/>
          </w:tcPr>
          <w:p w14:paraId="7692D852" w14:textId="77777777" w:rsidR="006F3AEA" w:rsidRPr="008C17AC" w:rsidRDefault="1BD27CB7" w:rsidP="23EF21E2">
            <w:pPr>
              <w:spacing w:after="0" w:line="240"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Methods transparency general</w:t>
            </w:r>
          </w:p>
        </w:tc>
        <w:tc>
          <w:tcPr>
            <w:tcW w:w="567" w:type="dxa"/>
            <w:shd w:val="clear" w:color="auto" w:fill="auto"/>
            <w:noWrap/>
            <w:hideMark/>
          </w:tcPr>
          <w:p w14:paraId="7A81B4F3"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32</w:t>
            </w:r>
          </w:p>
        </w:tc>
        <w:tc>
          <w:tcPr>
            <w:tcW w:w="850" w:type="dxa"/>
            <w:shd w:val="clear" w:color="auto" w:fill="auto"/>
            <w:noWrap/>
            <w:hideMark/>
          </w:tcPr>
          <w:p w14:paraId="5D07D585"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30.77</w:t>
            </w:r>
          </w:p>
        </w:tc>
      </w:tr>
      <w:tr w:rsidR="005C14CB" w:rsidRPr="008C17AC" w14:paraId="5D45F3AE" w14:textId="77777777" w:rsidTr="1A6C9FDE">
        <w:trPr>
          <w:trHeight w:val="227"/>
        </w:trPr>
        <w:tc>
          <w:tcPr>
            <w:tcW w:w="2547" w:type="dxa"/>
            <w:vMerge w:val="restart"/>
            <w:shd w:val="clear" w:color="auto" w:fill="auto"/>
            <w:hideMark/>
          </w:tcPr>
          <w:p w14:paraId="17093C0B" w14:textId="77777777" w:rsidR="006F3AEA" w:rsidRPr="008C17AC" w:rsidRDefault="1BD27CB7" w:rsidP="006072AF">
            <w:pPr>
              <w:spacing w:after="0" w:line="240"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Research material sharing</w:t>
            </w:r>
          </w:p>
        </w:tc>
        <w:tc>
          <w:tcPr>
            <w:tcW w:w="5103" w:type="dxa"/>
            <w:shd w:val="clear" w:color="auto" w:fill="auto"/>
            <w:vAlign w:val="center"/>
            <w:hideMark/>
          </w:tcPr>
          <w:p w14:paraId="585138F4" w14:textId="24209650" w:rsidR="006F3AEA" w:rsidRPr="008C17AC" w:rsidRDefault="00706400" w:rsidP="23EF21E2">
            <w:pPr>
              <w:spacing w:after="0" w:line="240"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M</w:t>
            </w:r>
            <w:r w:rsidR="1BD27CB7" w:rsidRPr="008C17AC">
              <w:rPr>
                <w:rFonts w:ascii="Times New Roman" w:eastAsia="Times New Roman" w:hAnsi="Times New Roman" w:cs="Times New Roman"/>
                <w:lang w:eastAsia="nl-NL"/>
              </w:rPr>
              <w:t>aterial sharing</w:t>
            </w:r>
          </w:p>
        </w:tc>
        <w:tc>
          <w:tcPr>
            <w:tcW w:w="567" w:type="dxa"/>
            <w:shd w:val="clear" w:color="auto" w:fill="auto"/>
            <w:noWrap/>
            <w:hideMark/>
          </w:tcPr>
          <w:p w14:paraId="3F02C301"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w:t>
            </w:r>
          </w:p>
        </w:tc>
        <w:tc>
          <w:tcPr>
            <w:tcW w:w="850" w:type="dxa"/>
            <w:shd w:val="clear" w:color="auto" w:fill="auto"/>
            <w:noWrap/>
            <w:hideMark/>
          </w:tcPr>
          <w:p w14:paraId="67FFD973"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0.96</w:t>
            </w:r>
          </w:p>
        </w:tc>
      </w:tr>
      <w:tr w:rsidR="006F3AEA" w:rsidRPr="008C17AC" w14:paraId="5D1EB0D4" w14:textId="77777777" w:rsidTr="1A6C9FDE">
        <w:trPr>
          <w:trHeight w:val="227"/>
        </w:trPr>
        <w:tc>
          <w:tcPr>
            <w:tcW w:w="2547" w:type="dxa"/>
            <w:vMerge/>
            <w:hideMark/>
          </w:tcPr>
          <w:p w14:paraId="5FA2516C" w14:textId="77777777" w:rsidR="006F3AEA" w:rsidRPr="008C17AC" w:rsidRDefault="006F3AEA" w:rsidP="006072AF">
            <w:pPr>
              <w:spacing w:after="0" w:line="240" w:lineRule="auto"/>
              <w:rPr>
                <w:rFonts w:ascii="Times New Roman" w:eastAsia="Times New Roman" w:hAnsi="Times New Roman" w:cs="Times New Roman"/>
                <w:lang w:eastAsia="nl-NL"/>
              </w:rPr>
            </w:pPr>
          </w:p>
        </w:tc>
        <w:tc>
          <w:tcPr>
            <w:tcW w:w="5103" w:type="dxa"/>
            <w:shd w:val="clear" w:color="auto" w:fill="auto"/>
            <w:hideMark/>
          </w:tcPr>
          <w:p w14:paraId="711A75B2" w14:textId="77777777" w:rsidR="006F3AEA" w:rsidRPr="008C17AC" w:rsidRDefault="006F3AEA" w:rsidP="23EF21E2">
            <w:pPr>
              <w:spacing w:after="0" w:line="240"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Data sharing</w:t>
            </w:r>
          </w:p>
        </w:tc>
        <w:tc>
          <w:tcPr>
            <w:tcW w:w="567" w:type="dxa"/>
            <w:shd w:val="clear" w:color="auto" w:fill="auto"/>
            <w:noWrap/>
            <w:hideMark/>
          </w:tcPr>
          <w:p w14:paraId="1F222939"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29</w:t>
            </w:r>
          </w:p>
        </w:tc>
        <w:tc>
          <w:tcPr>
            <w:tcW w:w="850" w:type="dxa"/>
            <w:shd w:val="clear" w:color="auto" w:fill="auto"/>
            <w:noWrap/>
            <w:hideMark/>
          </w:tcPr>
          <w:p w14:paraId="7C943769"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27.88</w:t>
            </w:r>
          </w:p>
        </w:tc>
      </w:tr>
      <w:tr w:rsidR="006F3AEA" w:rsidRPr="008C17AC" w14:paraId="1ABB2553" w14:textId="77777777" w:rsidTr="1A6C9FDE">
        <w:trPr>
          <w:trHeight w:val="227"/>
        </w:trPr>
        <w:tc>
          <w:tcPr>
            <w:tcW w:w="2547" w:type="dxa"/>
            <w:vMerge/>
            <w:hideMark/>
          </w:tcPr>
          <w:p w14:paraId="7D728E40" w14:textId="77777777" w:rsidR="006F3AEA" w:rsidRPr="008C17AC" w:rsidRDefault="006F3AEA" w:rsidP="006072AF">
            <w:pPr>
              <w:spacing w:after="0" w:line="240" w:lineRule="auto"/>
              <w:rPr>
                <w:rFonts w:ascii="Times New Roman" w:eastAsia="Times New Roman" w:hAnsi="Times New Roman" w:cs="Times New Roman"/>
                <w:lang w:eastAsia="nl-NL"/>
              </w:rPr>
            </w:pPr>
          </w:p>
        </w:tc>
        <w:tc>
          <w:tcPr>
            <w:tcW w:w="5103" w:type="dxa"/>
            <w:shd w:val="clear" w:color="auto" w:fill="auto"/>
            <w:vAlign w:val="center"/>
            <w:hideMark/>
          </w:tcPr>
          <w:p w14:paraId="2EC83A44" w14:textId="77777777" w:rsidR="006F3AEA" w:rsidRPr="008C17AC" w:rsidRDefault="1BD27CB7" w:rsidP="23EF21E2">
            <w:pPr>
              <w:spacing w:after="0" w:line="240"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Code sharing</w:t>
            </w:r>
          </w:p>
        </w:tc>
        <w:tc>
          <w:tcPr>
            <w:tcW w:w="567" w:type="dxa"/>
            <w:shd w:val="clear" w:color="auto" w:fill="auto"/>
            <w:noWrap/>
            <w:hideMark/>
          </w:tcPr>
          <w:p w14:paraId="527016D9"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3</w:t>
            </w:r>
          </w:p>
        </w:tc>
        <w:tc>
          <w:tcPr>
            <w:tcW w:w="850" w:type="dxa"/>
            <w:shd w:val="clear" w:color="auto" w:fill="auto"/>
            <w:noWrap/>
            <w:hideMark/>
          </w:tcPr>
          <w:p w14:paraId="31295BFF"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2.88</w:t>
            </w:r>
          </w:p>
        </w:tc>
      </w:tr>
      <w:tr w:rsidR="008C17AC" w:rsidRPr="008C17AC" w14:paraId="43CEF0DE" w14:textId="77777777" w:rsidTr="1A6C9FDE">
        <w:trPr>
          <w:trHeight w:val="227"/>
        </w:trPr>
        <w:tc>
          <w:tcPr>
            <w:tcW w:w="2547" w:type="dxa"/>
            <w:vMerge/>
            <w:hideMark/>
          </w:tcPr>
          <w:p w14:paraId="40ED9AFD" w14:textId="77777777" w:rsidR="006F3AEA" w:rsidRPr="008C17AC" w:rsidRDefault="006F3AEA" w:rsidP="006072AF">
            <w:pPr>
              <w:spacing w:after="0" w:line="240" w:lineRule="auto"/>
              <w:rPr>
                <w:rFonts w:ascii="Times New Roman" w:eastAsia="Times New Roman" w:hAnsi="Times New Roman" w:cs="Times New Roman"/>
                <w:lang w:eastAsia="nl-NL"/>
              </w:rPr>
            </w:pPr>
          </w:p>
        </w:tc>
        <w:tc>
          <w:tcPr>
            <w:tcW w:w="5103" w:type="dxa"/>
            <w:shd w:val="clear" w:color="auto" w:fill="auto"/>
            <w:vAlign w:val="center"/>
            <w:hideMark/>
          </w:tcPr>
          <w:p w14:paraId="765FB8E5" w14:textId="77777777" w:rsidR="006F3AEA" w:rsidRPr="008C17AC" w:rsidRDefault="1BD27CB7" w:rsidP="23EF21E2">
            <w:pPr>
              <w:spacing w:after="0" w:line="240"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Research material sharing general</w:t>
            </w:r>
          </w:p>
        </w:tc>
        <w:tc>
          <w:tcPr>
            <w:tcW w:w="567" w:type="dxa"/>
            <w:shd w:val="clear" w:color="auto" w:fill="auto"/>
            <w:noWrap/>
            <w:hideMark/>
          </w:tcPr>
          <w:p w14:paraId="514512FD"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w:t>
            </w:r>
          </w:p>
        </w:tc>
        <w:tc>
          <w:tcPr>
            <w:tcW w:w="850" w:type="dxa"/>
            <w:shd w:val="clear" w:color="auto" w:fill="auto"/>
            <w:noWrap/>
            <w:hideMark/>
          </w:tcPr>
          <w:p w14:paraId="61F66008"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0.96</w:t>
            </w:r>
          </w:p>
        </w:tc>
      </w:tr>
      <w:tr w:rsidR="008C17AC" w:rsidRPr="008C17AC" w14:paraId="1093C5B0" w14:textId="77777777" w:rsidTr="1A6C9FDE">
        <w:trPr>
          <w:trHeight w:val="227"/>
        </w:trPr>
        <w:tc>
          <w:tcPr>
            <w:tcW w:w="2547" w:type="dxa"/>
            <w:shd w:val="clear" w:color="auto" w:fill="auto"/>
            <w:noWrap/>
            <w:hideMark/>
          </w:tcPr>
          <w:p w14:paraId="74FB45F1" w14:textId="557A680C" w:rsidR="006F3AEA" w:rsidRPr="008C17AC" w:rsidRDefault="00C32C17" w:rsidP="006072AF">
            <w:pPr>
              <w:spacing w:after="0" w:line="240"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Other</w:t>
            </w:r>
            <w:r w:rsidR="00C84B24" w:rsidRPr="008C17AC">
              <w:rPr>
                <w:rFonts w:ascii="Times New Roman" w:eastAsia="Times New Roman" w:hAnsi="Times New Roman" w:cs="Times New Roman"/>
                <w:lang w:eastAsia="nl-NL"/>
              </w:rPr>
              <w:t xml:space="preserve"> proxy outcome</w:t>
            </w:r>
          </w:p>
        </w:tc>
        <w:tc>
          <w:tcPr>
            <w:tcW w:w="5103" w:type="dxa"/>
            <w:shd w:val="clear" w:color="auto" w:fill="auto"/>
            <w:hideMark/>
          </w:tcPr>
          <w:p w14:paraId="66B731D3" w14:textId="77777777" w:rsidR="006F3AEA" w:rsidRPr="008C17AC" w:rsidRDefault="1BD27CB7" w:rsidP="23EF21E2">
            <w:pPr>
              <w:spacing w:after="0" w:line="240" w:lineRule="auto"/>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Other</w:t>
            </w:r>
          </w:p>
        </w:tc>
        <w:tc>
          <w:tcPr>
            <w:tcW w:w="567" w:type="dxa"/>
            <w:shd w:val="clear" w:color="auto" w:fill="auto"/>
            <w:noWrap/>
            <w:hideMark/>
          </w:tcPr>
          <w:p w14:paraId="1CFF4E7C"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16</w:t>
            </w:r>
          </w:p>
        </w:tc>
        <w:tc>
          <w:tcPr>
            <w:tcW w:w="850" w:type="dxa"/>
            <w:shd w:val="clear" w:color="auto" w:fill="auto"/>
            <w:noWrap/>
            <w:hideMark/>
          </w:tcPr>
          <w:p w14:paraId="0972B4EE" w14:textId="77777777" w:rsidR="006F3AEA" w:rsidRPr="008C17AC" w:rsidRDefault="1BD27CB7" w:rsidP="00763479">
            <w:pPr>
              <w:spacing w:after="0" w:line="240" w:lineRule="auto"/>
              <w:jc w:val="center"/>
              <w:rPr>
                <w:rFonts w:ascii="Times New Roman" w:eastAsia="Times New Roman" w:hAnsi="Times New Roman" w:cs="Times New Roman"/>
                <w:lang w:eastAsia="nl-NL"/>
              </w:rPr>
            </w:pPr>
            <w:r w:rsidRPr="008C17AC">
              <w:rPr>
                <w:rFonts w:ascii="Times New Roman" w:eastAsia="Times New Roman" w:hAnsi="Times New Roman" w:cs="Times New Roman"/>
                <w:lang w:eastAsia="nl-NL"/>
              </w:rPr>
              <w:t>15.38</w:t>
            </w:r>
          </w:p>
        </w:tc>
      </w:tr>
    </w:tbl>
    <w:p w14:paraId="709074B9" w14:textId="1C2BBEBA" w:rsidR="17F0BC6B" w:rsidRPr="008C17AC" w:rsidRDefault="17F0BC6B" w:rsidP="23EF21E2">
      <w:pPr>
        <w:rPr>
          <w:rFonts w:ascii="Times New Roman" w:hAnsi="Times New Roman" w:cs="Times New Roman"/>
        </w:rPr>
      </w:pPr>
    </w:p>
    <w:p w14:paraId="63CD62AB" w14:textId="47A33CF8" w:rsidR="5C3C49A4" w:rsidRPr="008C17AC" w:rsidRDefault="1BD27CB7" w:rsidP="7529D9A3">
      <w:pPr>
        <w:spacing w:after="120" w:line="360" w:lineRule="auto"/>
        <w:ind w:left="-20" w:right="-20"/>
        <w:rPr>
          <w:rFonts w:ascii="Times New Roman" w:eastAsia="Times New Roman" w:hAnsi="Times New Roman" w:cs="Times New Roman"/>
          <w:b/>
          <w:bCs/>
          <w:iCs/>
        </w:rPr>
      </w:pPr>
      <w:r w:rsidRPr="008C17AC">
        <w:rPr>
          <w:rFonts w:ascii="Times New Roman" w:eastAsia="Times New Roman" w:hAnsi="Times New Roman" w:cs="Times New Roman"/>
          <w:b/>
          <w:bCs/>
          <w:iCs/>
        </w:rPr>
        <w:t>E</w:t>
      </w:r>
      <w:r w:rsidR="337E3176" w:rsidRPr="008C17AC">
        <w:rPr>
          <w:rFonts w:ascii="Times New Roman" w:eastAsia="Times New Roman" w:hAnsi="Times New Roman" w:cs="Times New Roman"/>
          <w:b/>
          <w:bCs/>
          <w:iCs/>
        </w:rPr>
        <w:t>vidence gap maps</w:t>
      </w:r>
    </w:p>
    <w:p w14:paraId="07A5D26C" w14:textId="0D715327" w:rsidR="004C68D9" w:rsidRPr="008C17AC" w:rsidRDefault="21B0290D" w:rsidP="1A6C9FDE">
      <w:pPr>
        <w:spacing w:after="120" w:line="360" w:lineRule="auto"/>
        <w:ind w:left="-20" w:right="-20"/>
        <w:rPr>
          <w:rFonts w:ascii="Times New Roman" w:eastAsia="Times New Roman" w:hAnsi="Times New Roman" w:cs="Times New Roman"/>
          <w:highlight w:val="yellow"/>
        </w:rPr>
        <w:sectPr w:rsidR="004C68D9" w:rsidRPr="008C17AC">
          <w:pgSz w:w="11906" w:h="16838"/>
          <w:pgMar w:top="1440" w:right="1440" w:bottom="1440" w:left="1440" w:header="720" w:footer="720" w:gutter="0"/>
          <w:cols w:space="720"/>
          <w:docGrid w:linePitch="360"/>
        </w:sectPr>
      </w:pPr>
      <w:r w:rsidRPr="008C17AC">
        <w:rPr>
          <w:rFonts w:ascii="Times New Roman" w:eastAsia="Times New Roman" w:hAnsi="Times New Roman" w:cs="Times New Roman"/>
        </w:rPr>
        <w:t xml:space="preserve">The evidence-gap maps show that most research done according to our scoping review is </w:t>
      </w:r>
      <w:r w:rsidR="4A67B120" w:rsidRPr="008C17AC">
        <w:rPr>
          <w:rFonts w:ascii="Times New Roman" w:eastAsia="Times New Roman" w:hAnsi="Times New Roman" w:cs="Times New Roman"/>
        </w:rPr>
        <w:t>on</w:t>
      </w:r>
      <w:r w:rsidR="0D176672" w:rsidRPr="008C17AC">
        <w:rPr>
          <w:rFonts w:ascii="Times New Roman" w:eastAsia="Times New Roman" w:hAnsi="Times New Roman" w:cs="Times New Roman"/>
        </w:rPr>
        <w:t xml:space="preserve"> the effect of </w:t>
      </w:r>
      <w:r w:rsidRPr="008C17AC">
        <w:rPr>
          <w:rFonts w:ascii="Times New Roman" w:eastAsia="Times New Roman" w:hAnsi="Times New Roman" w:cs="Times New Roman"/>
        </w:rPr>
        <w:t>open science policies and guidelines</w:t>
      </w:r>
      <w:r w:rsidR="6FE647F4" w:rsidRPr="008C17AC">
        <w:rPr>
          <w:rFonts w:ascii="Times New Roman" w:eastAsia="Times New Roman" w:hAnsi="Times New Roman" w:cs="Times New Roman"/>
        </w:rPr>
        <w:t xml:space="preserve"> </w:t>
      </w:r>
      <w:r w:rsidR="037FC843" w:rsidRPr="008C17AC">
        <w:rPr>
          <w:rFonts w:ascii="Times New Roman" w:eastAsia="Times New Roman" w:hAnsi="Times New Roman" w:cs="Times New Roman"/>
        </w:rPr>
        <w:t>for</w:t>
      </w:r>
      <w:r w:rsidR="6FE647F4" w:rsidRPr="008C17AC">
        <w:rPr>
          <w:rFonts w:ascii="Times New Roman" w:eastAsia="Times New Roman" w:hAnsi="Times New Roman" w:cs="Times New Roman"/>
        </w:rPr>
        <w:t xml:space="preserve"> research transparency – measured as the completeness</w:t>
      </w:r>
      <w:r w:rsidRPr="008C17AC">
        <w:rPr>
          <w:rFonts w:ascii="Times New Roman" w:eastAsia="Times New Roman" w:hAnsi="Times New Roman" w:cs="Times New Roman"/>
        </w:rPr>
        <w:t xml:space="preserve"> of reporting</w:t>
      </w:r>
      <w:r w:rsidR="623415AF" w:rsidRPr="008C17AC">
        <w:rPr>
          <w:rFonts w:ascii="Times New Roman" w:eastAsia="Times New Roman" w:hAnsi="Times New Roman" w:cs="Times New Roman"/>
        </w:rPr>
        <w:t xml:space="preserve">; and the effect of open science policies and </w:t>
      </w:r>
      <w:r w:rsidRPr="008C17AC">
        <w:rPr>
          <w:rFonts w:ascii="Times New Roman" w:eastAsia="Times New Roman" w:hAnsi="Times New Roman" w:cs="Times New Roman"/>
        </w:rPr>
        <w:t>guidelines</w:t>
      </w:r>
      <w:r w:rsidR="623415AF" w:rsidRPr="008C17AC">
        <w:rPr>
          <w:rFonts w:ascii="Times New Roman" w:eastAsia="Times New Roman" w:hAnsi="Times New Roman" w:cs="Times New Roman"/>
        </w:rPr>
        <w:t xml:space="preserve"> on data-sharing</w:t>
      </w:r>
      <w:r w:rsidR="1D5AE985" w:rsidRPr="008C17AC">
        <w:rPr>
          <w:rFonts w:ascii="Times New Roman" w:eastAsia="Times New Roman" w:hAnsi="Times New Roman" w:cs="Times New Roman"/>
        </w:rPr>
        <w:t xml:space="preserve"> (Figure </w:t>
      </w:r>
      <w:r w:rsidR="0156C683" w:rsidRPr="008C17AC">
        <w:rPr>
          <w:rFonts w:ascii="Times New Roman" w:eastAsia="Times New Roman" w:hAnsi="Times New Roman" w:cs="Times New Roman"/>
        </w:rPr>
        <w:t>2</w:t>
      </w:r>
      <w:r w:rsidR="1D5AE985" w:rsidRPr="008C17AC">
        <w:rPr>
          <w:rFonts w:ascii="Times New Roman" w:eastAsia="Times New Roman" w:hAnsi="Times New Roman" w:cs="Times New Roman"/>
        </w:rPr>
        <w:t xml:space="preserve">, Figure </w:t>
      </w:r>
      <w:r w:rsidR="0156C683" w:rsidRPr="008C17AC">
        <w:rPr>
          <w:rFonts w:ascii="Times New Roman" w:eastAsia="Times New Roman" w:hAnsi="Times New Roman" w:cs="Times New Roman"/>
        </w:rPr>
        <w:t>3</w:t>
      </w:r>
      <w:r w:rsidR="1D5AE985" w:rsidRPr="008C17AC">
        <w:rPr>
          <w:rFonts w:ascii="Times New Roman" w:eastAsia="Times New Roman" w:hAnsi="Times New Roman" w:cs="Times New Roman"/>
        </w:rPr>
        <w:t>)</w:t>
      </w:r>
      <w:r w:rsidR="38EB7FEB" w:rsidRPr="008C17AC">
        <w:rPr>
          <w:rFonts w:ascii="Times New Roman" w:eastAsia="Times New Roman" w:hAnsi="Times New Roman" w:cs="Times New Roman"/>
        </w:rPr>
        <w:t>.</w:t>
      </w:r>
      <w:r w:rsidRPr="008C17AC">
        <w:rPr>
          <w:rFonts w:ascii="Times New Roman" w:eastAsia="Times New Roman" w:hAnsi="Times New Roman" w:cs="Times New Roman"/>
        </w:rPr>
        <w:t xml:space="preserve"> None of the studies investigated whether data and materials sharing actually leads to more reproducible research. A few studies did investigate whether shared data could be used to reproduce </w:t>
      </w:r>
      <w:r w:rsidR="16AAEB3F" w:rsidRPr="008C17AC">
        <w:rPr>
          <w:rFonts w:ascii="Times New Roman" w:eastAsia="Times New Roman" w:hAnsi="Times New Roman" w:cs="Times New Roman"/>
        </w:rPr>
        <w:t>research findings.</w:t>
      </w:r>
      <w:r w:rsidR="7DB2477E" w:rsidRPr="008C17AC">
        <w:rPr>
          <w:rFonts w:ascii="Times New Roman" w:eastAsia="Times New Roman" w:hAnsi="Times New Roman" w:cs="Times New Roman"/>
        </w:rPr>
        <w:t xml:space="preserve"> </w:t>
      </w:r>
      <w:r w:rsidR="2CE57D68" w:rsidRPr="008C17AC">
        <w:rPr>
          <w:rFonts w:ascii="Times New Roman" w:eastAsia="Times New Roman" w:hAnsi="Times New Roman" w:cs="Times New Roman"/>
        </w:rPr>
        <w:t xml:space="preserve">Our evidence gap maps show clear gaps. The most </w:t>
      </w:r>
      <w:r w:rsidR="3DDA9E57" w:rsidRPr="008C17AC">
        <w:rPr>
          <w:rFonts w:ascii="Times New Roman" w:eastAsia="Times New Roman" w:hAnsi="Times New Roman" w:cs="Times New Roman"/>
        </w:rPr>
        <w:t>notable</w:t>
      </w:r>
      <w:r w:rsidR="2CE57D68" w:rsidRPr="008C17AC">
        <w:rPr>
          <w:rFonts w:ascii="Times New Roman" w:eastAsia="Times New Roman" w:hAnsi="Times New Roman" w:cs="Times New Roman"/>
        </w:rPr>
        <w:t xml:space="preserve"> gap is the lack of studies investigating the effect of open data and materials (data-sharing) on the actual </w:t>
      </w:r>
      <w:r w:rsidR="07505AF9" w:rsidRPr="008C17AC">
        <w:rPr>
          <w:rFonts w:ascii="Times New Roman" w:eastAsia="Times New Roman" w:hAnsi="Times New Roman" w:cs="Times New Roman"/>
        </w:rPr>
        <w:t>reproducibility and replicability of research. Also, few studies investigated the effect of educational resources and of open evaluations, such as open peer review.</w:t>
      </w:r>
    </w:p>
    <w:p w14:paraId="0B3ACA00" w14:textId="6521559D" w:rsidR="00817647" w:rsidRPr="008C17AC" w:rsidRDefault="5B377E85" w:rsidP="00817647">
      <w:pPr>
        <w:pStyle w:val="Normaalweb"/>
      </w:pPr>
      <w:r w:rsidRPr="008C17AC">
        <w:rPr>
          <w:b/>
          <w:bCs/>
        </w:rPr>
        <w:lastRenderedPageBreak/>
        <w:t xml:space="preserve">Figure 2. Evidence gap map of interventions and </w:t>
      </w:r>
      <w:r w:rsidR="42BC27AF" w:rsidRPr="008C17AC">
        <w:rPr>
          <w:b/>
          <w:bCs/>
        </w:rPr>
        <w:t xml:space="preserve">specific </w:t>
      </w:r>
      <w:r w:rsidRPr="008C17AC">
        <w:rPr>
          <w:b/>
          <w:bCs/>
        </w:rPr>
        <w:t>outcomes investigated</w:t>
      </w:r>
      <w:r w:rsidR="011098B0" w:rsidRPr="008C17AC">
        <w:rPr>
          <w:b/>
          <w:bCs/>
        </w:rPr>
        <w:t>, with information on stud</w:t>
      </w:r>
      <w:r w:rsidR="2E12DD9E" w:rsidRPr="008C17AC">
        <w:rPr>
          <w:b/>
          <w:bCs/>
        </w:rPr>
        <w:t>y designs</w:t>
      </w:r>
      <w:r w:rsidRPr="008C17AC">
        <w:rPr>
          <w:b/>
          <w:bCs/>
        </w:rPr>
        <w:t xml:space="preserve">. </w:t>
      </w:r>
      <w:r w:rsidR="7D35F455" w:rsidRPr="008C17AC">
        <w:rPr>
          <w:noProof/>
          <w:lang w:val="nl-NL" w:eastAsia="nl-NL"/>
        </w:rPr>
        <w:drawing>
          <wp:inline distT="0" distB="0" distL="0" distR="0" wp14:anchorId="690F5199" wp14:editId="7E3AFB2B">
            <wp:extent cx="7962900" cy="5308602"/>
            <wp:effectExtent l="0" t="0" r="0" b="0"/>
            <wp:docPr id="1763068789" name="Afbeelding 1763068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6306878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62900" cy="5308602"/>
                    </a:xfrm>
                    <a:prstGeom prst="rect">
                      <a:avLst/>
                    </a:prstGeom>
                  </pic:spPr>
                </pic:pic>
              </a:graphicData>
            </a:graphic>
          </wp:inline>
        </w:drawing>
      </w:r>
    </w:p>
    <w:p w14:paraId="31709968" w14:textId="3E4A341D" w:rsidR="00817647" w:rsidRPr="008C17AC" w:rsidRDefault="008C17AC" w:rsidP="00817647">
      <w:pPr>
        <w:pStyle w:val="Normaalweb"/>
      </w:pPr>
      <w:r w:rsidRPr="008C17AC">
        <w:rPr>
          <w:b/>
          <w:sz w:val="18"/>
          <w:szCs w:val="22"/>
        </w:rPr>
        <w:t xml:space="preserve">CAPTION: </w:t>
      </w:r>
      <w:r w:rsidR="36EE1458" w:rsidRPr="008C17AC">
        <w:rPr>
          <w:sz w:val="18"/>
          <w:szCs w:val="22"/>
        </w:rPr>
        <w:t>Study designs: between = comparative (between-subject comparison) within = comparative (within-subject comparison/repeated measures design) post only = post-intervention (only a post measurement after the implementation of an intervention and the intervention is explicitly mentioned) other = other designs.</w:t>
      </w:r>
    </w:p>
    <w:p w14:paraId="31E4BFF7" w14:textId="43B16B88" w:rsidR="00817647" w:rsidRPr="008C17AC" w:rsidRDefault="36EE1458" w:rsidP="1A6C9FDE">
      <w:pPr>
        <w:pStyle w:val="Normaalweb"/>
        <w:rPr>
          <w:b/>
          <w:bCs/>
        </w:rPr>
      </w:pPr>
      <w:r w:rsidRPr="008C17AC">
        <w:rPr>
          <w:b/>
          <w:bCs/>
        </w:rPr>
        <w:lastRenderedPageBreak/>
        <w:t>Figure 3. Evidence gap map of interventions and outcome</w:t>
      </w:r>
      <w:r w:rsidR="213BCE85" w:rsidRPr="008C17AC">
        <w:rPr>
          <w:b/>
          <w:bCs/>
        </w:rPr>
        <w:t xml:space="preserve"> domains</w:t>
      </w:r>
      <w:r w:rsidRPr="008C17AC">
        <w:rPr>
          <w:b/>
          <w:bCs/>
        </w:rPr>
        <w:t xml:space="preserve"> investigated, with information on study designs.</w:t>
      </w:r>
    </w:p>
    <w:p w14:paraId="1D39373C" w14:textId="6A5FBEDD" w:rsidR="00817647" w:rsidRPr="008C17AC" w:rsidRDefault="3DF60092" w:rsidP="00817647">
      <w:pPr>
        <w:pStyle w:val="Normaalweb"/>
      </w:pPr>
      <w:r w:rsidRPr="008C17AC">
        <w:rPr>
          <w:noProof/>
          <w:lang w:val="nl-NL" w:eastAsia="nl-NL"/>
        </w:rPr>
        <w:drawing>
          <wp:inline distT="0" distB="0" distL="0" distR="0" wp14:anchorId="36D9E65C" wp14:editId="28F76AB8">
            <wp:extent cx="7638856" cy="5092572"/>
            <wp:effectExtent l="0" t="0" r="0" b="6350"/>
            <wp:docPr id="1400580611" name="Afbeelding 140058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0058061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38856" cy="5092572"/>
                    </a:xfrm>
                    <a:prstGeom prst="rect">
                      <a:avLst/>
                    </a:prstGeom>
                  </pic:spPr>
                </pic:pic>
              </a:graphicData>
            </a:graphic>
          </wp:inline>
        </w:drawing>
      </w:r>
    </w:p>
    <w:p w14:paraId="4EC92230" w14:textId="4904B6A0" w:rsidR="339012E1" w:rsidRPr="008C17AC" w:rsidRDefault="008C17AC" w:rsidP="1A6C9FDE">
      <w:pPr>
        <w:pStyle w:val="Normaalweb"/>
      </w:pPr>
      <w:r w:rsidRPr="008C17AC">
        <w:rPr>
          <w:b/>
          <w:sz w:val="18"/>
          <w:szCs w:val="22"/>
        </w:rPr>
        <w:t xml:space="preserve">CAPTION: </w:t>
      </w:r>
      <w:r w:rsidR="339012E1" w:rsidRPr="008C17AC">
        <w:rPr>
          <w:sz w:val="18"/>
          <w:szCs w:val="22"/>
        </w:rPr>
        <w:t>The left pane shows direct reproducibility outcomes, while the right pane shows proxy outcomes. Study designs: between = comparative (between-subject comparison) within = comparative (within-subject comparison/repeated measures design) post only = post-intervention (only a post measurement after the implementation of an intervention and the intervention is explicitly mentioned) other = other designs.</w:t>
      </w:r>
    </w:p>
    <w:p w14:paraId="7D6F4FE7" w14:textId="7C1916A1" w:rsidR="00BA02C3" w:rsidRPr="008C17AC" w:rsidRDefault="722FF95D" w:rsidP="007200F4">
      <w:pPr>
        <w:pStyle w:val="Normaalweb"/>
      </w:pPr>
      <w:r w:rsidRPr="008C17AC">
        <w:rPr>
          <w:b/>
          <w:bCs/>
        </w:rPr>
        <w:lastRenderedPageBreak/>
        <w:t>Figure 4. Evidence gap map of interventions and specific outcomes investigated, with information on author-stated effects.</w:t>
      </w:r>
    </w:p>
    <w:p w14:paraId="5B29DDD6" w14:textId="614DDCA0" w:rsidR="00BA02C3" w:rsidRPr="008C17AC" w:rsidRDefault="5555C528" w:rsidP="007200F4">
      <w:pPr>
        <w:pStyle w:val="Normaalweb"/>
        <w:sectPr w:rsidR="00BA02C3" w:rsidRPr="008C17AC" w:rsidSect="004C68D9">
          <w:pgSz w:w="16838" w:h="11906" w:orient="landscape"/>
          <w:pgMar w:top="1170" w:right="1440" w:bottom="1106" w:left="1440" w:header="720" w:footer="720" w:gutter="0"/>
          <w:cols w:space="720"/>
          <w:docGrid w:linePitch="360"/>
        </w:sectPr>
      </w:pPr>
      <w:r w:rsidRPr="008C17AC">
        <w:rPr>
          <w:noProof/>
          <w:lang w:val="nl-NL" w:eastAsia="nl-NL"/>
        </w:rPr>
        <w:drawing>
          <wp:inline distT="0" distB="0" distL="0" distR="0" wp14:anchorId="3A8BB610" wp14:editId="7C611679">
            <wp:extent cx="7912554" cy="5275038"/>
            <wp:effectExtent l="0" t="0" r="0" b="0"/>
            <wp:docPr id="595137080" name="Afbeelding 59513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513708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12554" cy="5275038"/>
                    </a:xfrm>
                    <a:prstGeom prst="rect">
                      <a:avLst/>
                    </a:prstGeom>
                  </pic:spPr>
                </pic:pic>
              </a:graphicData>
            </a:graphic>
          </wp:inline>
        </w:drawing>
      </w:r>
      <w:r w:rsidR="04F2C082" w:rsidRPr="008C17AC">
        <w:t xml:space="preserve"> </w:t>
      </w:r>
    </w:p>
    <w:p w14:paraId="6A68C8D3" w14:textId="6435C2EA" w:rsidR="63B8CC5C" w:rsidRPr="008C17AC" w:rsidRDefault="1D2001EA" w:rsidP="1A6C9FDE">
      <w:pPr>
        <w:spacing w:line="360" w:lineRule="auto"/>
        <w:rPr>
          <w:rFonts w:ascii="Times New Roman" w:eastAsia="Times New Roman" w:hAnsi="Times New Roman" w:cs="Times New Roman"/>
          <w:b/>
          <w:bCs/>
        </w:rPr>
      </w:pPr>
      <w:r w:rsidRPr="008C17AC">
        <w:rPr>
          <w:rFonts w:ascii="Times New Roman" w:eastAsia="Times New Roman" w:hAnsi="Times New Roman" w:cs="Times New Roman"/>
          <w:b/>
          <w:bCs/>
        </w:rPr>
        <w:lastRenderedPageBreak/>
        <w:t>Author-stated direction of effects</w:t>
      </w:r>
    </w:p>
    <w:p w14:paraId="59C69AAD" w14:textId="14D1CD5F" w:rsidR="63B8CC5C" w:rsidRPr="008C17AC" w:rsidRDefault="44BD0EB1" w:rsidP="1A6C9FDE">
      <w:pPr>
        <w:spacing w:line="360" w:lineRule="auto"/>
        <w:rPr>
          <w:rFonts w:ascii="Times New Roman" w:eastAsia="Times New Roman" w:hAnsi="Times New Roman" w:cs="Times New Roman"/>
        </w:rPr>
      </w:pPr>
      <w:r w:rsidRPr="008C17AC">
        <w:rPr>
          <w:rFonts w:ascii="Times New Roman" w:eastAsia="Times New Roman" w:hAnsi="Times New Roman" w:cs="Times New Roman"/>
        </w:rPr>
        <w:t>Of 60</w:t>
      </w:r>
      <w:r w:rsidR="1D2001EA" w:rsidRPr="008C17AC">
        <w:rPr>
          <w:rFonts w:ascii="Times New Roman" w:eastAsia="Times New Roman" w:hAnsi="Times New Roman" w:cs="Times New Roman"/>
        </w:rPr>
        <w:t xml:space="preserve"> out of 104 research conclusions </w:t>
      </w:r>
      <w:r w:rsidR="542FA7DB" w:rsidRPr="008C17AC">
        <w:rPr>
          <w:rFonts w:ascii="Times New Roman" w:eastAsia="Times New Roman" w:hAnsi="Times New Roman" w:cs="Times New Roman"/>
        </w:rPr>
        <w:t xml:space="preserve">the authors of the publications rated the effect of the interventions they investigated </w:t>
      </w:r>
      <w:r w:rsidR="1D2001EA" w:rsidRPr="008C17AC">
        <w:rPr>
          <w:rFonts w:ascii="Times New Roman" w:eastAsia="Times New Roman" w:hAnsi="Times New Roman" w:cs="Times New Roman"/>
        </w:rPr>
        <w:t>positive</w:t>
      </w:r>
      <w:r w:rsidR="54007D5B" w:rsidRPr="008C17AC">
        <w:rPr>
          <w:rFonts w:ascii="Times New Roman" w:eastAsia="Times New Roman" w:hAnsi="Times New Roman" w:cs="Times New Roman"/>
        </w:rPr>
        <w:t xml:space="preserve">ly. The </w:t>
      </w:r>
      <w:r w:rsidR="1D2001EA" w:rsidRPr="008C17AC">
        <w:rPr>
          <w:rFonts w:ascii="Times New Roman" w:eastAsia="Times New Roman" w:hAnsi="Times New Roman" w:cs="Times New Roman"/>
        </w:rPr>
        <w:t xml:space="preserve">authors </w:t>
      </w:r>
      <w:r w:rsidR="74EB5178" w:rsidRPr="008C17AC">
        <w:rPr>
          <w:rFonts w:ascii="Times New Roman" w:eastAsia="Times New Roman" w:hAnsi="Times New Roman" w:cs="Times New Roman"/>
        </w:rPr>
        <w:t>concluded</w:t>
      </w:r>
      <w:r w:rsidR="1D2001EA" w:rsidRPr="008C17AC">
        <w:rPr>
          <w:rFonts w:ascii="Times New Roman" w:eastAsia="Times New Roman" w:hAnsi="Times New Roman" w:cs="Times New Roman"/>
        </w:rPr>
        <w:t xml:space="preserve"> that the</w:t>
      </w:r>
      <w:r w:rsidR="09BCDB99" w:rsidRPr="008C17AC">
        <w:rPr>
          <w:rFonts w:ascii="Times New Roman" w:eastAsia="Times New Roman" w:hAnsi="Times New Roman" w:cs="Times New Roman"/>
        </w:rPr>
        <w:t>se</w:t>
      </w:r>
      <w:r w:rsidR="1D2001EA" w:rsidRPr="008C17AC">
        <w:rPr>
          <w:rFonts w:ascii="Times New Roman" w:eastAsia="Times New Roman" w:hAnsi="Times New Roman" w:cs="Times New Roman"/>
        </w:rPr>
        <w:t xml:space="preserve"> intervention</w:t>
      </w:r>
      <w:r w:rsidR="1ED2FB97" w:rsidRPr="008C17AC">
        <w:rPr>
          <w:rFonts w:ascii="Times New Roman" w:eastAsia="Times New Roman" w:hAnsi="Times New Roman" w:cs="Times New Roman"/>
        </w:rPr>
        <w:t>s</w:t>
      </w:r>
      <w:r w:rsidR="1D2001EA" w:rsidRPr="008C17AC">
        <w:rPr>
          <w:rFonts w:ascii="Times New Roman" w:eastAsia="Times New Roman" w:hAnsi="Times New Roman" w:cs="Times New Roman"/>
        </w:rPr>
        <w:t xml:space="preserve"> did lead to more reproducibility (or to better methods transparency, more data/code sharing or more preregistration as proxies for reproducibility). Forty-three conclusions were neutral, meaning there was no effect detected or authors concluded that the intervention was not effective. Only one study had a negative conclusion, meaning that the intervention had unintended negative consequences, however only regarding a proxy outcome (p-value calibration leading to an increased type-II error rate</w:t>
      </w:r>
      <w:r w:rsidR="40841118" w:rsidRPr="008C17AC">
        <w:rPr>
          <w:rFonts w:ascii="Times New Roman" w:eastAsia="Times New Roman" w:hAnsi="Times New Roman" w:cs="Times New Roman"/>
        </w:rPr>
        <w:t>)</w:t>
      </w:r>
      <w:r w:rsidR="1D2001EA" w:rsidRPr="008C17AC">
        <w:rPr>
          <w:rFonts w:ascii="Times New Roman" w:eastAsia="Times New Roman" w:hAnsi="Times New Roman" w:cs="Times New Roman"/>
        </w:rPr>
        <w:t xml:space="preserve"> [79].    </w:t>
      </w:r>
    </w:p>
    <w:p w14:paraId="1B4FB04E" w14:textId="0CC785A6" w:rsidR="63B8CC5C" w:rsidRPr="008C17AC" w:rsidRDefault="1D2001EA" w:rsidP="1A6C9FDE">
      <w:pPr>
        <w:spacing w:line="360" w:lineRule="auto"/>
        <w:rPr>
          <w:rFonts w:ascii="Times New Roman" w:eastAsia="Times New Roman" w:hAnsi="Times New Roman" w:cs="Times New Roman"/>
        </w:rPr>
      </w:pPr>
      <w:r w:rsidRPr="008C17AC">
        <w:rPr>
          <w:rFonts w:ascii="Times New Roman" w:eastAsia="Times New Roman" w:hAnsi="Times New Roman" w:cs="Times New Roman"/>
          <w:b/>
          <w:bCs/>
        </w:rPr>
        <w:t>Disciplinary scope of interventions</w:t>
      </w:r>
      <w:r w:rsidRPr="008C17AC">
        <w:rPr>
          <w:rFonts w:ascii="Times New Roman" w:eastAsia="Times New Roman" w:hAnsi="Times New Roman" w:cs="Times New Roman"/>
        </w:rPr>
        <w:t xml:space="preserve"> </w:t>
      </w:r>
    </w:p>
    <w:p w14:paraId="7BB9DCE1" w14:textId="40C07487" w:rsidR="63B8CC5C" w:rsidRPr="008C17AC" w:rsidRDefault="107482F7" w:rsidP="1A6C9FDE">
      <w:pPr>
        <w:spacing w:line="360" w:lineRule="auto"/>
        <w:rPr>
          <w:rFonts w:ascii="Times New Roman" w:eastAsia="Times New Roman" w:hAnsi="Times New Roman" w:cs="Times New Roman"/>
        </w:rPr>
      </w:pPr>
      <w:r w:rsidRPr="008C17AC">
        <w:rPr>
          <w:rFonts w:ascii="Times New Roman" w:eastAsia="Times New Roman" w:hAnsi="Times New Roman" w:cs="Times New Roman"/>
        </w:rPr>
        <w:t xml:space="preserve">Figure </w:t>
      </w:r>
      <w:r w:rsidR="79A3CAC6" w:rsidRPr="008C17AC">
        <w:rPr>
          <w:rFonts w:ascii="Times New Roman" w:eastAsia="Times New Roman" w:hAnsi="Times New Roman" w:cs="Times New Roman"/>
        </w:rPr>
        <w:t>5</w:t>
      </w:r>
      <w:r w:rsidRPr="008C17AC">
        <w:rPr>
          <w:rFonts w:ascii="Times New Roman" w:eastAsia="Times New Roman" w:hAnsi="Times New Roman" w:cs="Times New Roman"/>
        </w:rPr>
        <w:t xml:space="preserve"> presents </w:t>
      </w:r>
      <w:r w:rsidR="3CD6C50F" w:rsidRPr="008C17AC">
        <w:rPr>
          <w:rFonts w:ascii="Times New Roman" w:eastAsia="Times New Roman" w:hAnsi="Times New Roman" w:cs="Times New Roman"/>
        </w:rPr>
        <w:t xml:space="preserve">the </w:t>
      </w:r>
      <w:r w:rsidRPr="008C17AC">
        <w:rPr>
          <w:rFonts w:ascii="Times New Roman" w:eastAsia="Times New Roman" w:hAnsi="Times New Roman" w:cs="Times New Roman"/>
        </w:rPr>
        <w:t xml:space="preserve">disciplinary distribution and temporal trends of </w:t>
      </w:r>
      <w:r w:rsidR="4A0C6820" w:rsidRPr="008C17AC">
        <w:rPr>
          <w:rFonts w:ascii="Times New Roman" w:eastAsia="Times New Roman" w:hAnsi="Times New Roman" w:cs="Times New Roman"/>
        </w:rPr>
        <w:t xml:space="preserve">our included </w:t>
      </w:r>
      <w:r w:rsidRPr="008C17AC">
        <w:rPr>
          <w:rFonts w:ascii="Times New Roman" w:eastAsia="Times New Roman" w:hAnsi="Times New Roman" w:cs="Times New Roman"/>
        </w:rPr>
        <w:t>studies</w:t>
      </w:r>
      <w:r w:rsidR="05CA4ED1" w:rsidRPr="008C17AC">
        <w:rPr>
          <w:rFonts w:ascii="Times New Roman" w:eastAsia="Times New Roman" w:hAnsi="Times New Roman" w:cs="Times New Roman"/>
        </w:rPr>
        <w:t xml:space="preserve">. </w:t>
      </w:r>
      <w:r w:rsidR="60F5A6DA" w:rsidRPr="008C17AC">
        <w:rPr>
          <w:rFonts w:ascii="Times New Roman" w:eastAsia="Times New Roman" w:hAnsi="Times New Roman" w:cs="Times New Roman"/>
        </w:rPr>
        <w:t xml:space="preserve">The majority of studies investigating interventions in the medical and health sciences, with significant contributions from the natural sciences and social sciences. </w:t>
      </w:r>
      <w:r w:rsidR="1E078EF3" w:rsidRPr="008C17AC">
        <w:rPr>
          <w:rFonts w:ascii="Times New Roman" w:eastAsia="Times New Roman" w:hAnsi="Times New Roman" w:cs="Times New Roman"/>
        </w:rPr>
        <w:t>C</w:t>
      </w:r>
      <w:r w:rsidRPr="008C17AC">
        <w:rPr>
          <w:rFonts w:ascii="Times New Roman" w:eastAsia="Times New Roman" w:hAnsi="Times New Roman" w:cs="Times New Roman"/>
        </w:rPr>
        <w:t>linical medicine</w:t>
      </w:r>
      <w:r w:rsidR="351B5859" w:rsidRPr="008C17AC">
        <w:rPr>
          <w:rFonts w:ascii="Times New Roman" w:eastAsia="Times New Roman" w:hAnsi="Times New Roman" w:cs="Times New Roman"/>
        </w:rPr>
        <w:t xml:space="preserve"> is by far the area most covered, followed by</w:t>
      </w:r>
      <w:r w:rsidRPr="008C17AC">
        <w:rPr>
          <w:rFonts w:ascii="Times New Roman" w:eastAsia="Times New Roman" w:hAnsi="Times New Roman" w:cs="Times New Roman"/>
        </w:rPr>
        <w:t xml:space="preserve">, </w:t>
      </w:r>
      <w:r w:rsidR="7C6F0FF8" w:rsidRPr="008C17AC">
        <w:rPr>
          <w:rFonts w:ascii="Times New Roman" w:eastAsia="Times New Roman" w:hAnsi="Times New Roman" w:cs="Times New Roman"/>
        </w:rPr>
        <w:t>P</w:t>
      </w:r>
      <w:r w:rsidRPr="008C17AC">
        <w:rPr>
          <w:rFonts w:ascii="Times New Roman" w:eastAsia="Times New Roman" w:hAnsi="Times New Roman" w:cs="Times New Roman"/>
        </w:rPr>
        <w:t>sychology</w:t>
      </w:r>
      <w:r w:rsidR="1D341F78" w:rsidRPr="008C17AC">
        <w:rPr>
          <w:rFonts w:ascii="Times New Roman" w:eastAsia="Times New Roman" w:hAnsi="Times New Roman" w:cs="Times New Roman"/>
        </w:rPr>
        <w:t>/</w:t>
      </w:r>
      <w:r w:rsidRPr="008C17AC">
        <w:rPr>
          <w:rFonts w:ascii="Times New Roman" w:eastAsia="Times New Roman" w:hAnsi="Times New Roman" w:cs="Times New Roman"/>
        </w:rPr>
        <w:t>cognitive sciences</w:t>
      </w:r>
      <w:r w:rsidR="47A4CC52" w:rsidRPr="008C17AC">
        <w:rPr>
          <w:rFonts w:ascii="Times New Roman" w:eastAsia="Times New Roman" w:hAnsi="Times New Roman" w:cs="Times New Roman"/>
        </w:rPr>
        <w:t xml:space="preserve">, Health sciences, Basic medicine, and </w:t>
      </w:r>
      <w:r w:rsidR="3AE2E558" w:rsidRPr="008C17AC">
        <w:rPr>
          <w:rFonts w:ascii="Times New Roman" w:eastAsia="Times New Roman" w:hAnsi="Times New Roman" w:cs="Times New Roman"/>
        </w:rPr>
        <w:t>B</w:t>
      </w:r>
      <w:r w:rsidR="47A4CC52" w:rsidRPr="008C17AC">
        <w:rPr>
          <w:rFonts w:ascii="Times New Roman" w:eastAsia="Times New Roman" w:hAnsi="Times New Roman" w:cs="Times New Roman"/>
        </w:rPr>
        <w:t>iological</w:t>
      </w:r>
      <w:r w:rsidRPr="008C17AC">
        <w:rPr>
          <w:rFonts w:ascii="Times New Roman" w:eastAsia="Times New Roman" w:hAnsi="Times New Roman" w:cs="Times New Roman"/>
        </w:rPr>
        <w:t xml:space="preserve"> </w:t>
      </w:r>
      <w:r w:rsidR="77F6B2CD" w:rsidRPr="008C17AC">
        <w:rPr>
          <w:rFonts w:ascii="Times New Roman" w:eastAsia="Times New Roman" w:hAnsi="Times New Roman" w:cs="Times New Roman"/>
        </w:rPr>
        <w:t>sciences. Multidisciplinary</w:t>
      </w:r>
      <w:r w:rsidR="38099C85" w:rsidRPr="008C17AC">
        <w:rPr>
          <w:rFonts w:ascii="Times New Roman" w:eastAsia="Times New Roman" w:hAnsi="Times New Roman" w:cs="Times New Roman"/>
        </w:rPr>
        <w:t xml:space="preserve"> studies (where three or more </w:t>
      </w:r>
      <w:r w:rsidR="046A6725" w:rsidRPr="008C17AC">
        <w:rPr>
          <w:rFonts w:ascii="Times New Roman" w:eastAsia="Times New Roman" w:hAnsi="Times New Roman" w:cs="Times New Roman"/>
        </w:rPr>
        <w:t>d</w:t>
      </w:r>
      <w:r w:rsidR="484ABFFC" w:rsidRPr="008C17AC">
        <w:rPr>
          <w:rFonts w:ascii="Times New Roman" w:eastAsia="Times New Roman" w:hAnsi="Times New Roman" w:cs="Times New Roman"/>
        </w:rPr>
        <w:t>isciplines</w:t>
      </w:r>
      <w:r w:rsidR="38099C85" w:rsidRPr="008C17AC">
        <w:rPr>
          <w:rFonts w:ascii="Times New Roman" w:eastAsia="Times New Roman" w:hAnsi="Times New Roman" w:cs="Times New Roman"/>
        </w:rPr>
        <w:t xml:space="preserve"> are addre</w:t>
      </w:r>
      <w:r w:rsidR="614836A0" w:rsidRPr="008C17AC">
        <w:rPr>
          <w:rFonts w:ascii="Times New Roman" w:eastAsia="Times New Roman" w:hAnsi="Times New Roman" w:cs="Times New Roman"/>
        </w:rPr>
        <w:t>ssed</w:t>
      </w:r>
      <w:r w:rsidR="38099C85" w:rsidRPr="008C17AC">
        <w:rPr>
          <w:rFonts w:ascii="Times New Roman" w:eastAsia="Times New Roman" w:hAnsi="Times New Roman" w:cs="Times New Roman"/>
        </w:rPr>
        <w:t>) as well as</w:t>
      </w:r>
      <w:r w:rsidR="77F6B2CD" w:rsidRPr="008C17AC">
        <w:rPr>
          <w:rFonts w:ascii="Times New Roman" w:eastAsia="Times New Roman" w:hAnsi="Times New Roman" w:cs="Times New Roman"/>
        </w:rPr>
        <w:t xml:space="preserve"> Economics/business </w:t>
      </w:r>
      <w:r w:rsidR="5E57CBDD" w:rsidRPr="008C17AC">
        <w:rPr>
          <w:rFonts w:ascii="Times New Roman" w:eastAsia="Times New Roman" w:hAnsi="Times New Roman" w:cs="Times New Roman"/>
        </w:rPr>
        <w:t xml:space="preserve">are also well represented. </w:t>
      </w:r>
      <w:r w:rsidR="54EB89FF" w:rsidRPr="008C17AC">
        <w:rPr>
          <w:rFonts w:ascii="Times New Roman" w:eastAsia="Times New Roman" w:hAnsi="Times New Roman" w:cs="Times New Roman"/>
        </w:rPr>
        <w:t>T</w:t>
      </w:r>
      <w:r w:rsidRPr="008C17AC">
        <w:rPr>
          <w:rFonts w:ascii="Times New Roman" w:eastAsia="Times New Roman" w:hAnsi="Times New Roman" w:cs="Times New Roman"/>
        </w:rPr>
        <w:t>he temporal distribution of these studies</w:t>
      </w:r>
      <w:r w:rsidR="49B81DFF" w:rsidRPr="008C17AC">
        <w:rPr>
          <w:rFonts w:ascii="Times New Roman" w:eastAsia="Times New Roman" w:hAnsi="Times New Roman" w:cs="Times New Roman"/>
        </w:rPr>
        <w:t xml:space="preserve">, with the first </w:t>
      </w:r>
      <w:r w:rsidR="6F0EEF9C" w:rsidRPr="008C17AC">
        <w:rPr>
          <w:rFonts w:ascii="Times New Roman" w:eastAsia="Times New Roman" w:hAnsi="Times New Roman" w:cs="Times New Roman"/>
        </w:rPr>
        <w:t>published in</w:t>
      </w:r>
      <w:r w:rsidR="49B81DFF" w:rsidRPr="008C17AC">
        <w:rPr>
          <w:rFonts w:ascii="Times New Roman" w:eastAsia="Times New Roman" w:hAnsi="Times New Roman" w:cs="Times New Roman"/>
        </w:rPr>
        <w:t xml:space="preserve"> </w:t>
      </w:r>
      <w:r w:rsidRPr="008C17AC">
        <w:rPr>
          <w:rFonts w:ascii="Times New Roman" w:eastAsia="Times New Roman" w:hAnsi="Times New Roman" w:cs="Times New Roman"/>
        </w:rPr>
        <w:t>2009</w:t>
      </w:r>
      <w:r w:rsidR="1A042DD1" w:rsidRPr="008C17AC">
        <w:rPr>
          <w:rFonts w:ascii="Times New Roman" w:eastAsia="Times New Roman" w:hAnsi="Times New Roman" w:cs="Times New Roman"/>
        </w:rPr>
        <w:t>, and running</w:t>
      </w:r>
      <w:r w:rsidRPr="008C17AC">
        <w:rPr>
          <w:rFonts w:ascii="Times New Roman" w:eastAsia="Times New Roman" w:hAnsi="Times New Roman" w:cs="Times New Roman"/>
        </w:rPr>
        <w:t xml:space="preserve"> </w:t>
      </w:r>
      <w:r w:rsidR="3B84A9E4" w:rsidRPr="008C17AC">
        <w:rPr>
          <w:rFonts w:ascii="Times New Roman" w:eastAsia="Times New Roman" w:hAnsi="Times New Roman" w:cs="Times New Roman"/>
        </w:rPr>
        <w:t xml:space="preserve">until </w:t>
      </w:r>
      <w:r w:rsidRPr="008C17AC">
        <w:rPr>
          <w:rFonts w:ascii="Times New Roman" w:eastAsia="Times New Roman" w:hAnsi="Times New Roman" w:cs="Times New Roman"/>
        </w:rPr>
        <w:t>2023</w:t>
      </w:r>
      <w:r w:rsidR="78B7DAAD" w:rsidRPr="008C17AC">
        <w:rPr>
          <w:rFonts w:ascii="Times New Roman" w:eastAsia="Times New Roman" w:hAnsi="Times New Roman" w:cs="Times New Roman"/>
        </w:rPr>
        <w:t xml:space="preserve"> (the time of our database search and retrieval)</w:t>
      </w:r>
      <w:r w:rsidRPr="008C17AC">
        <w:rPr>
          <w:rFonts w:ascii="Times New Roman" w:eastAsia="Times New Roman" w:hAnsi="Times New Roman" w:cs="Times New Roman"/>
        </w:rPr>
        <w:t>, show</w:t>
      </w:r>
      <w:r w:rsidR="2CE6CB21" w:rsidRPr="008C17AC">
        <w:rPr>
          <w:rFonts w:ascii="Times New Roman" w:eastAsia="Times New Roman" w:hAnsi="Times New Roman" w:cs="Times New Roman"/>
        </w:rPr>
        <w:t>s</w:t>
      </w:r>
      <w:r w:rsidRPr="008C17AC">
        <w:rPr>
          <w:rFonts w:ascii="Times New Roman" w:eastAsia="Times New Roman" w:hAnsi="Times New Roman" w:cs="Times New Roman"/>
        </w:rPr>
        <w:t xml:space="preserve"> a marked increase in the number of studies over time, particularly peaking in 2022</w:t>
      </w:r>
      <w:r w:rsidR="2BB04CED" w:rsidRPr="008C17AC">
        <w:rPr>
          <w:rFonts w:ascii="Times New Roman" w:eastAsia="Times New Roman" w:hAnsi="Times New Roman" w:cs="Times New Roman"/>
        </w:rPr>
        <w:t xml:space="preserve"> and 2023 (a partial year given the cut-off</w:t>
      </w:r>
      <w:r w:rsidR="0C3AE51E" w:rsidRPr="008C17AC">
        <w:rPr>
          <w:rFonts w:ascii="Times New Roman" w:eastAsia="Times New Roman" w:hAnsi="Times New Roman" w:cs="Times New Roman"/>
        </w:rPr>
        <w:t xml:space="preserve"> represented by the date of our database results retrieval </w:t>
      </w:r>
      <w:r w:rsidR="7CC039C0" w:rsidRPr="008C17AC">
        <w:rPr>
          <w:rFonts w:ascii="Times New Roman" w:eastAsia="Times New Roman" w:hAnsi="Times New Roman" w:cs="Times New Roman"/>
        </w:rPr>
        <w:t>in August 2023</w:t>
      </w:r>
      <w:r w:rsidR="2BB04CED" w:rsidRPr="008C17AC">
        <w:rPr>
          <w:rFonts w:ascii="Times New Roman" w:eastAsia="Times New Roman" w:hAnsi="Times New Roman" w:cs="Times New Roman"/>
        </w:rPr>
        <w:t>)</w:t>
      </w:r>
      <w:r w:rsidRPr="008C17AC">
        <w:rPr>
          <w:rFonts w:ascii="Times New Roman" w:eastAsia="Times New Roman" w:hAnsi="Times New Roman" w:cs="Times New Roman"/>
        </w:rPr>
        <w:t xml:space="preserve">. The overall trend indicates a growing </w:t>
      </w:r>
      <w:r w:rsidR="1914AF19" w:rsidRPr="008C17AC">
        <w:rPr>
          <w:rFonts w:ascii="Times New Roman" w:eastAsia="Times New Roman" w:hAnsi="Times New Roman" w:cs="Times New Roman"/>
        </w:rPr>
        <w:t xml:space="preserve">number </w:t>
      </w:r>
      <w:r w:rsidR="080622C9" w:rsidRPr="008C17AC">
        <w:rPr>
          <w:rFonts w:ascii="Times New Roman" w:eastAsia="Times New Roman" w:hAnsi="Times New Roman" w:cs="Times New Roman"/>
        </w:rPr>
        <w:t xml:space="preserve">(with a notable recent acceleration) </w:t>
      </w:r>
      <w:r w:rsidRPr="008C17AC">
        <w:rPr>
          <w:rFonts w:ascii="Times New Roman" w:eastAsia="Times New Roman" w:hAnsi="Times New Roman" w:cs="Times New Roman"/>
        </w:rPr>
        <w:t>o</w:t>
      </w:r>
      <w:r w:rsidR="3C43879E" w:rsidRPr="008C17AC">
        <w:rPr>
          <w:rFonts w:ascii="Times New Roman" w:eastAsia="Times New Roman" w:hAnsi="Times New Roman" w:cs="Times New Roman"/>
        </w:rPr>
        <w:t>f</w:t>
      </w:r>
      <w:r w:rsidRPr="008C17AC">
        <w:rPr>
          <w:rFonts w:ascii="Times New Roman" w:eastAsia="Times New Roman" w:hAnsi="Times New Roman" w:cs="Times New Roman"/>
        </w:rPr>
        <w:t xml:space="preserve"> </w:t>
      </w:r>
      <w:r w:rsidR="30269052" w:rsidRPr="008C17AC">
        <w:rPr>
          <w:rFonts w:ascii="Times New Roman" w:eastAsia="Times New Roman" w:hAnsi="Times New Roman" w:cs="Times New Roman"/>
        </w:rPr>
        <w:t xml:space="preserve">intervention studies to </w:t>
      </w:r>
      <w:r w:rsidR="78E29BFC" w:rsidRPr="008C17AC">
        <w:rPr>
          <w:rFonts w:ascii="Times New Roman" w:eastAsia="Times New Roman" w:hAnsi="Times New Roman" w:cs="Times New Roman"/>
        </w:rPr>
        <w:t>increas</w:t>
      </w:r>
      <w:r w:rsidR="215CE8C1" w:rsidRPr="008C17AC">
        <w:rPr>
          <w:rFonts w:ascii="Times New Roman" w:eastAsia="Times New Roman" w:hAnsi="Times New Roman" w:cs="Times New Roman"/>
        </w:rPr>
        <w:t xml:space="preserve">e </w:t>
      </w:r>
      <w:r w:rsidRPr="008C17AC">
        <w:rPr>
          <w:rFonts w:ascii="Times New Roman" w:eastAsia="Times New Roman" w:hAnsi="Times New Roman" w:cs="Times New Roman"/>
        </w:rPr>
        <w:t xml:space="preserve">reproducibility </w:t>
      </w:r>
      <w:r w:rsidR="344FC8CA" w:rsidRPr="008C17AC">
        <w:rPr>
          <w:rFonts w:ascii="Times New Roman" w:eastAsia="Times New Roman" w:hAnsi="Times New Roman" w:cs="Times New Roman"/>
        </w:rPr>
        <w:t xml:space="preserve">and replicability </w:t>
      </w:r>
      <w:r w:rsidRPr="008C17AC">
        <w:rPr>
          <w:rFonts w:ascii="Times New Roman" w:eastAsia="Times New Roman" w:hAnsi="Times New Roman" w:cs="Times New Roman"/>
        </w:rPr>
        <w:t xml:space="preserve">across various disciplines, </w:t>
      </w:r>
      <w:r w:rsidR="5DCD5822" w:rsidRPr="008C17AC">
        <w:rPr>
          <w:rFonts w:ascii="Times New Roman" w:eastAsia="Times New Roman" w:hAnsi="Times New Roman" w:cs="Times New Roman"/>
        </w:rPr>
        <w:t xml:space="preserve">and an overall predominant </w:t>
      </w:r>
      <w:r w:rsidRPr="008C17AC">
        <w:rPr>
          <w:rFonts w:ascii="Times New Roman" w:eastAsia="Times New Roman" w:hAnsi="Times New Roman" w:cs="Times New Roman"/>
        </w:rPr>
        <w:t xml:space="preserve">focus on </w:t>
      </w:r>
      <w:r w:rsidR="7C0EA891" w:rsidRPr="008C17AC">
        <w:rPr>
          <w:rFonts w:ascii="Times New Roman" w:eastAsia="Times New Roman" w:hAnsi="Times New Roman" w:cs="Times New Roman"/>
        </w:rPr>
        <w:t>C</w:t>
      </w:r>
      <w:r w:rsidRPr="008C17AC">
        <w:rPr>
          <w:rFonts w:ascii="Times New Roman" w:eastAsia="Times New Roman" w:hAnsi="Times New Roman" w:cs="Times New Roman"/>
        </w:rPr>
        <w:t xml:space="preserve">linical </w:t>
      </w:r>
      <w:r w:rsidR="46A4A341" w:rsidRPr="008C17AC">
        <w:rPr>
          <w:rFonts w:ascii="Times New Roman" w:eastAsia="Times New Roman" w:hAnsi="Times New Roman" w:cs="Times New Roman"/>
        </w:rPr>
        <w:t>medicine</w:t>
      </w:r>
      <w:r w:rsidR="5A2C49FF" w:rsidRPr="008C17AC">
        <w:rPr>
          <w:rFonts w:ascii="Times New Roman" w:eastAsia="Times New Roman" w:hAnsi="Times New Roman" w:cs="Times New Roman"/>
        </w:rPr>
        <w:t>, Psychology and cognitive sciences,</w:t>
      </w:r>
      <w:r w:rsidR="46A4A341" w:rsidRPr="008C17AC">
        <w:rPr>
          <w:rFonts w:ascii="Times New Roman" w:eastAsia="Times New Roman" w:hAnsi="Times New Roman" w:cs="Times New Roman"/>
        </w:rPr>
        <w:t xml:space="preserve"> </w:t>
      </w:r>
      <w:r w:rsidR="4D247C51" w:rsidRPr="008C17AC">
        <w:rPr>
          <w:rFonts w:ascii="Times New Roman" w:eastAsia="Times New Roman" w:hAnsi="Times New Roman" w:cs="Times New Roman"/>
        </w:rPr>
        <w:t xml:space="preserve">and other </w:t>
      </w:r>
      <w:r w:rsidR="1E0A544E" w:rsidRPr="008C17AC">
        <w:rPr>
          <w:rFonts w:ascii="Times New Roman" w:eastAsia="Times New Roman" w:hAnsi="Times New Roman" w:cs="Times New Roman"/>
        </w:rPr>
        <w:t xml:space="preserve">health </w:t>
      </w:r>
      <w:r w:rsidR="72264544" w:rsidRPr="008C17AC">
        <w:rPr>
          <w:rFonts w:ascii="Times New Roman" w:eastAsia="Times New Roman" w:hAnsi="Times New Roman" w:cs="Times New Roman"/>
        </w:rPr>
        <w:t xml:space="preserve">or biological </w:t>
      </w:r>
      <w:r w:rsidR="4D247C51" w:rsidRPr="008C17AC">
        <w:rPr>
          <w:rFonts w:ascii="Times New Roman" w:eastAsia="Times New Roman" w:hAnsi="Times New Roman" w:cs="Times New Roman"/>
        </w:rPr>
        <w:t>fields</w:t>
      </w:r>
      <w:r w:rsidRPr="008C17AC">
        <w:rPr>
          <w:rFonts w:ascii="Times New Roman" w:eastAsia="Times New Roman" w:hAnsi="Times New Roman" w:cs="Times New Roman"/>
        </w:rPr>
        <w:t>.</w:t>
      </w:r>
    </w:p>
    <w:p w14:paraId="3C66E03D" w14:textId="061E2E9A" w:rsidR="64EB7AB4" w:rsidRPr="008C17AC" w:rsidRDefault="7497A26A" w:rsidP="00FC0228">
      <w:pPr>
        <w:rPr>
          <w:rFonts w:ascii="Times New Roman" w:hAnsi="Times New Roman" w:cs="Times New Roman"/>
        </w:rPr>
      </w:pPr>
      <w:r w:rsidRPr="008C17AC">
        <w:rPr>
          <w:rFonts w:ascii="Times New Roman" w:hAnsi="Times New Roman" w:cs="Times New Roman"/>
          <w:noProof/>
          <w:lang w:val="nl-NL" w:eastAsia="nl-NL"/>
        </w:rPr>
        <w:lastRenderedPageBreak/>
        <w:drawing>
          <wp:inline distT="0" distB="0" distL="0" distR="0" wp14:anchorId="426B8A75" wp14:editId="2F293ECE">
            <wp:extent cx="5724524" cy="4648202"/>
            <wp:effectExtent l="0" t="0" r="0" b="0"/>
            <wp:docPr id="318731772" name="Picture 31873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3177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4524" cy="4648202"/>
                    </a:xfrm>
                    <a:prstGeom prst="rect">
                      <a:avLst/>
                    </a:prstGeom>
                  </pic:spPr>
                </pic:pic>
              </a:graphicData>
            </a:graphic>
          </wp:inline>
        </w:drawing>
      </w:r>
    </w:p>
    <w:p w14:paraId="70776B19" w14:textId="0B568D70" w:rsidR="0476D8B1" w:rsidRPr="008C17AC" w:rsidRDefault="41B440EF" w:rsidP="1A6C9FDE">
      <w:pPr>
        <w:rPr>
          <w:rFonts w:ascii="Times New Roman" w:eastAsia="Times New Roman" w:hAnsi="Times New Roman" w:cs="Times New Roman"/>
          <w:b/>
          <w:bCs/>
        </w:rPr>
      </w:pPr>
      <w:r w:rsidRPr="008C17AC">
        <w:rPr>
          <w:rFonts w:ascii="Times New Roman" w:eastAsia="Times New Roman" w:hAnsi="Times New Roman" w:cs="Times New Roman"/>
          <w:b/>
          <w:bCs/>
          <w:sz w:val="18"/>
          <w:szCs w:val="18"/>
        </w:rPr>
        <w:t xml:space="preserve">CAPTION: </w:t>
      </w:r>
      <w:r w:rsidRPr="008C17AC">
        <w:rPr>
          <w:rFonts w:ascii="Times New Roman" w:eastAsia="Times New Roman" w:hAnsi="Times New Roman" w:cs="Times New Roman"/>
          <w:sz w:val="18"/>
          <w:szCs w:val="18"/>
        </w:rPr>
        <w:t>Disciplinary distribution and temporal trends of included intervention studies</w:t>
      </w:r>
      <w:r w:rsidR="5A655F00" w:rsidRPr="008C17AC">
        <w:rPr>
          <w:rFonts w:ascii="Times New Roman" w:eastAsia="Times New Roman" w:hAnsi="Times New Roman" w:cs="Times New Roman"/>
          <w:sz w:val="18"/>
          <w:szCs w:val="18"/>
        </w:rPr>
        <w:t xml:space="preserve">, according to the Frascati manual discipline “Fields of Science and Technology“ </w:t>
      </w:r>
      <w:r w:rsidR="78FD0276" w:rsidRPr="008C17AC">
        <w:rPr>
          <w:rFonts w:ascii="Times New Roman" w:eastAsia="Times New Roman" w:hAnsi="Times New Roman" w:cs="Times New Roman"/>
        </w:rPr>
        <w:fldChar w:fldCharType="begin"/>
      </w:r>
      <w:r w:rsidR="78FD0276" w:rsidRPr="008C17AC">
        <w:rPr>
          <w:rFonts w:ascii="Times New Roman" w:eastAsia="Times New Roman" w:hAnsi="Times New Roman" w:cs="Times New Roman"/>
        </w:rPr>
        <w:instrText xml:space="preserve"> ADDIN ZOTERO_ITEM CSL_CITATION {"citationID":"wBgsN2gF","properties":{"formattedCitation":"[134]","plainCitation":"[134]","noteIndex":0},"citationItems":[{"id":31335,"uris":["http://zotero.org/groups/4983756/items/RDEZM28S"],"itemData":{"id":31335,"type":"book","abstract":"The internationally recognised methodology for collecting and using R&amp;amp;D statistics, the OECD&amp;apos;s Frascati Manual is an essential tool for statisticians and science and innovation policy makers worldwide. It includes definitions of basic concepts, data...","event-place":"Paris","language":"en","publisher":"Organisation for Economic Co-operation and Development","publisher-place":"Paris","source":"OECD iLibrary","title":"Frascati Manual 2015: Guidelines for Collecting and Reporting Data on Research and Experimental Development","title-short":"Frascati Manual 2015","URL":"https://www.oecd-ilibrary.org/science-and-technology/frascati-manual-2015_9789264239012-en","author":[{"literal":"OECD"}],"accessed":{"date-parts":[["2024",5,21]]},"issued":{"date-parts":[["2015"]]}}}],"schema":"https://github.com/citation-style-language/schema/raw/master/csl-citation.json"} </w:instrText>
      </w:r>
      <w:r w:rsidR="78FD0276" w:rsidRPr="008C17AC">
        <w:rPr>
          <w:rFonts w:ascii="Times New Roman" w:eastAsia="Times New Roman" w:hAnsi="Times New Roman" w:cs="Times New Roman"/>
        </w:rPr>
        <w:fldChar w:fldCharType="separate"/>
      </w:r>
      <w:r w:rsidR="5A655F00" w:rsidRPr="008C17AC">
        <w:rPr>
          <w:rFonts w:ascii="Times New Roman" w:eastAsia="Times New Roman" w:hAnsi="Times New Roman" w:cs="Times New Roman"/>
          <w:sz w:val="18"/>
          <w:szCs w:val="18"/>
        </w:rPr>
        <w:t>[134]</w:t>
      </w:r>
      <w:r w:rsidR="78FD0276" w:rsidRPr="008C17AC">
        <w:rPr>
          <w:rFonts w:ascii="Times New Roman" w:eastAsia="Times New Roman" w:hAnsi="Times New Roman" w:cs="Times New Roman"/>
        </w:rPr>
        <w:fldChar w:fldCharType="end"/>
      </w:r>
      <w:r w:rsidR="5A655F00" w:rsidRPr="008C17AC">
        <w:rPr>
          <w:rFonts w:ascii="Times New Roman" w:eastAsia="Times New Roman" w:hAnsi="Times New Roman" w:cs="Times New Roman"/>
          <w:sz w:val="18"/>
          <w:szCs w:val="18"/>
        </w:rPr>
        <w:t>.</w:t>
      </w:r>
      <w:r w:rsidR="69C60987" w:rsidRPr="008C17AC">
        <w:rPr>
          <w:rFonts w:ascii="Times New Roman" w:eastAsia="Times New Roman" w:hAnsi="Times New Roman" w:cs="Times New Roman"/>
          <w:sz w:val="18"/>
          <w:szCs w:val="18"/>
        </w:rPr>
        <w:t xml:space="preserve"> </w:t>
      </w:r>
      <w:r w:rsidR="542DA5DA" w:rsidRPr="008C17AC">
        <w:rPr>
          <w:rFonts w:ascii="Times New Roman" w:eastAsia="Times New Roman" w:hAnsi="Times New Roman" w:cs="Times New Roman"/>
          <w:b/>
          <w:bCs/>
          <w:sz w:val="18"/>
          <w:szCs w:val="18"/>
        </w:rPr>
        <w:t>(</w:t>
      </w:r>
      <w:r w:rsidR="69C60987" w:rsidRPr="008C17AC">
        <w:rPr>
          <w:rFonts w:ascii="Times New Roman" w:eastAsia="Times New Roman" w:hAnsi="Times New Roman" w:cs="Times New Roman"/>
          <w:b/>
          <w:bCs/>
          <w:sz w:val="18"/>
          <w:szCs w:val="18"/>
        </w:rPr>
        <w:t>A)</w:t>
      </w:r>
      <w:r w:rsidRPr="008C17AC">
        <w:rPr>
          <w:rFonts w:ascii="Times New Roman" w:eastAsia="Times New Roman" w:hAnsi="Times New Roman" w:cs="Times New Roman"/>
          <w:b/>
          <w:bCs/>
          <w:sz w:val="18"/>
          <w:szCs w:val="18"/>
        </w:rPr>
        <w:t xml:space="preserve"> </w:t>
      </w:r>
      <w:r w:rsidRPr="008C17AC">
        <w:rPr>
          <w:rFonts w:ascii="Times New Roman" w:eastAsia="Times New Roman" w:hAnsi="Times New Roman" w:cs="Times New Roman"/>
          <w:sz w:val="18"/>
          <w:szCs w:val="18"/>
        </w:rPr>
        <w:t>Number of studies according to Frascati Field of Science and Technology Classification schema top-level ‘Disciplines’</w:t>
      </w:r>
      <w:r w:rsidR="480FA08B" w:rsidRPr="008C17AC">
        <w:rPr>
          <w:rFonts w:ascii="Times New Roman" w:eastAsia="Times New Roman" w:hAnsi="Times New Roman" w:cs="Times New Roman"/>
          <w:sz w:val="18"/>
          <w:szCs w:val="18"/>
        </w:rPr>
        <w:t>.</w:t>
      </w:r>
      <w:r w:rsidRPr="008C17AC">
        <w:rPr>
          <w:rFonts w:ascii="Times New Roman" w:eastAsia="Times New Roman" w:hAnsi="Times New Roman" w:cs="Times New Roman"/>
          <w:sz w:val="18"/>
          <w:szCs w:val="18"/>
        </w:rPr>
        <w:t xml:space="preserve"> </w:t>
      </w:r>
      <w:r w:rsidR="4C1DBCD5" w:rsidRPr="008C17AC">
        <w:rPr>
          <w:rFonts w:ascii="Times New Roman" w:eastAsia="Times New Roman" w:hAnsi="Times New Roman" w:cs="Times New Roman"/>
          <w:b/>
          <w:bCs/>
          <w:sz w:val="18"/>
          <w:szCs w:val="18"/>
        </w:rPr>
        <w:t>(B)</w:t>
      </w:r>
      <w:r w:rsidR="4C1DBCD5" w:rsidRPr="008C17AC">
        <w:rPr>
          <w:rFonts w:ascii="Times New Roman" w:eastAsia="Times New Roman" w:hAnsi="Times New Roman" w:cs="Times New Roman"/>
          <w:sz w:val="18"/>
          <w:szCs w:val="18"/>
        </w:rPr>
        <w:t xml:space="preserve"> </w:t>
      </w:r>
      <w:r w:rsidRPr="008C17AC">
        <w:rPr>
          <w:rFonts w:ascii="Times New Roman" w:eastAsia="Times New Roman" w:hAnsi="Times New Roman" w:cs="Times New Roman"/>
          <w:sz w:val="18"/>
          <w:szCs w:val="18"/>
        </w:rPr>
        <w:t>Number of studies according to Frascati second-level ‘Knowledge Fields’, with respective top-level categories indicated by colour</w:t>
      </w:r>
      <w:r w:rsidR="3331C057" w:rsidRPr="008C17AC">
        <w:rPr>
          <w:rFonts w:ascii="Times New Roman" w:eastAsia="Times New Roman" w:hAnsi="Times New Roman" w:cs="Times New Roman"/>
          <w:sz w:val="18"/>
          <w:szCs w:val="18"/>
        </w:rPr>
        <w:t>.</w:t>
      </w:r>
      <w:r w:rsidRPr="008C17AC">
        <w:rPr>
          <w:rFonts w:ascii="Times New Roman" w:eastAsia="Times New Roman" w:hAnsi="Times New Roman" w:cs="Times New Roman"/>
          <w:sz w:val="18"/>
          <w:szCs w:val="18"/>
        </w:rPr>
        <w:t xml:space="preserve"> </w:t>
      </w:r>
      <w:r w:rsidR="7BD2BF9B" w:rsidRPr="008C17AC">
        <w:rPr>
          <w:rFonts w:ascii="Times New Roman" w:eastAsia="Times New Roman" w:hAnsi="Times New Roman" w:cs="Times New Roman"/>
          <w:b/>
          <w:bCs/>
          <w:sz w:val="18"/>
          <w:szCs w:val="18"/>
        </w:rPr>
        <w:t>(C)</w:t>
      </w:r>
      <w:r w:rsidR="7BD2BF9B" w:rsidRPr="008C17AC">
        <w:rPr>
          <w:rFonts w:ascii="Times New Roman" w:eastAsia="Times New Roman" w:hAnsi="Times New Roman" w:cs="Times New Roman"/>
          <w:sz w:val="18"/>
          <w:szCs w:val="18"/>
        </w:rPr>
        <w:t xml:space="preserve"> </w:t>
      </w:r>
      <w:r w:rsidRPr="008C17AC">
        <w:rPr>
          <w:rFonts w:ascii="Times New Roman" w:eastAsia="Times New Roman" w:hAnsi="Times New Roman" w:cs="Times New Roman"/>
          <w:sz w:val="18"/>
          <w:szCs w:val="18"/>
        </w:rPr>
        <w:t xml:space="preserve">Number of studies over time, with respective top-level categories indicated by colour. Note that each study may cover more than one Discipline/Field of Knowledge. In these </w:t>
      </w:r>
      <w:r w:rsidR="3D75DAD5" w:rsidRPr="008C17AC">
        <w:rPr>
          <w:rFonts w:ascii="Times New Roman" w:eastAsia="Times New Roman" w:hAnsi="Times New Roman" w:cs="Times New Roman"/>
          <w:sz w:val="18"/>
          <w:szCs w:val="18"/>
        </w:rPr>
        <w:t>cases,</w:t>
      </w:r>
      <w:r w:rsidRPr="008C17AC">
        <w:rPr>
          <w:rFonts w:ascii="Times New Roman" w:eastAsia="Times New Roman" w:hAnsi="Times New Roman" w:cs="Times New Roman"/>
          <w:sz w:val="18"/>
          <w:szCs w:val="18"/>
        </w:rPr>
        <w:t xml:space="preserve"> the studies are counted fully for each respective Discipline/Field of Knowledge, and hence overall numbers add up to more than our included number of studies.</w:t>
      </w:r>
    </w:p>
    <w:p w14:paraId="7CA09932" w14:textId="77777777" w:rsidR="008C17AC" w:rsidRPr="008C17AC" w:rsidRDefault="008C17AC">
      <w:pPr>
        <w:rPr>
          <w:rFonts w:ascii="Times New Roman" w:eastAsia="Times New Roman" w:hAnsi="Times New Roman" w:cs="Times New Roman"/>
          <w:b/>
          <w:bCs/>
        </w:rPr>
      </w:pPr>
    </w:p>
    <w:p w14:paraId="0DEC134C" w14:textId="77777777" w:rsidR="008C17AC" w:rsidRPr="008C17AC" w:rsidRDefault="008C17AC">
      <w:pPr>
        <w:rPr>
          <w:rFonts w:ascii="Times New Roman" w:eastAsia="Times New Roman" w:hAnsi="Times New Roman" w:cs="Times New Roman"/>
          <w:b/>
          <w:bCs/>
        </w:rPr>
      </w:pPr>
    </w:p>
    <w:p w14:paraId="0F6AFFA6" w14:textId="2F359DE1" w:rsidR="66492C4F" w:rsidRPr="008C17AC" w:rsidRDefault="049F95C9" w:rsidP="23EF21E2">
      <w:pPr>
        <w:spacing w:after="120" w:line="360" w:lineRule="auto"/>
        <w:ind w:left="-20" w:right="-20"/>
        <w:rPr>
          <w:rFonts w:ascii="Times New Roman" w:eastAsia="Times New Roman" w:hAnsi="Times New Roman" w:cs="Times New Roman"/>
          <w:b/>
          <w:bCs/>
        </w:rPr>
      </w:pPr>
      <w:r w:rsidRPr="008C17AC">
        <w:rPr>
          <w:rFonts w:ascii="Times New Roman" w:eastAsia="Times New Roman" w:hAnsi="Times New Roman" w:cs="Times New Roman"/>
          <w:b/>
          <w:bCs/>
        </w:rPr>
        <w:t>Discussion</w:t>
      </w:r>
    </w:p>
    <w:p w14:paraId="2B1AC51D" w14:textId="56AA9EBA" w:rsidR="159D4331" w:rsidRPr="008C17AC" w:rsidRDefault="3F58BF75" w:rsidP="0001587D">
      <w:pPr>
        <w:spacing w:line="360" w:lineRule="auto"/>
        <w:ind w:firstLine="709"/>
        <w:rPr>
          <w:rFonts w:ascii="Times New Roman" w:eastAsia="Times New Roman" w:hAnsi="Times New Roman" w:cs="Times New Roman"/>
          <w:u w:val="single"/>
        </w:rPr>
      </w:pPr>
      <w:r w:rsidRPr="008C17AC">
        <w:rPr>
          <w:rFonts w:ascii="Times New Roman" w:eastAsia="Times New Roman" w:hAnsi="Times New Roman" w:cs="Times New Roman"/>
        </w:rPr>
        <w:t xml:space="preserve">The aim of this scoping review was to gain an overview over formal investigations of interventions to enhance reproducibility and replicability in research, with an emphasis on those related to Open Science. </w:t>
      </w:r>
      <w:r w:rsidR="147E25F6" w:rsidRPr="008C17AC">
        <w:rPr>
          <w:rFonts w:ascii="Times New Roman" w:eastAsia="Times New Roman" w:hAnsi="Times New Roman" w:cs="Times New Roman"/>
        </w:rPr>
        <w:t>Of the</w:t>
      </w:r>
      <w:r w:rsidR="75CCC175" w:rsidRPr="008C17AC">
        <w:rPr>
          <w:rFonts w:ascii="Times New Roman" w:eastAsia="Times New Roman" w:hAnsi="Times New Roman" w:cs="Times New Roman"/>
        </w:rPr>
        <w:t xml:space="preserve"> </w:t>
      </w:r>
      <w:r w:rsidRPr="008C17AC">
        <w:rPr>
          <w:rFonts w:ascii="Times New Roman" w:eastAsia="Times New Roman" w:hAnsi="Times New Roman" w:cs="Times New Roman"/>
        </w:rPr>
        <w:t xml:space="preserve">104 distinct </w:t>
      </w:r>
      <w:r w:rsidR="44C97884" w:rsidRPr="008C17AC">
        <w:rPr>
          <w:rFonts w:ascii="Times New Roman" w:eastAsia="Times New Roman" w:hAnsi="Times New Roman" w:cs="Times New Roman"/>
        </w:rPr>
        <w:t>studies</w:t>
      </w:r>
      <w:r w:rsidR="1FEC0266" w:rsidRPr="008C17AC">
        <w:rPr>
          <w:rFonts w:ascii="Times New Roman" w:eastAsia="Times New Roman" w:hAnsi="Times New Roman" w:cs="Times New Roman"/>
        </w:rPr>
        <w:t xml:space="preserve"> we included, only 15 directly measured the effect of an intervention on reproducibility or replicability, while the other research questions addressed a proxy outcome, such as data sharing</w:t>
      </w:r>
      <w:r w:rsidR="4CC421B9" w:rsidRPr="008C17AC">
        <w:rPr>
          <w:rFonts w:ascii="Times New Roman" w:eastAsia="Times New Roman" w:hAnsi="Times New Roman" w:cs="Times New Roman"/>
        </w:rPr>
        <w:t>, methods transparency or preregistration</w:t>
      </w:r>
      <w:r w:rsidR="1FEC0266" w:rsidRPr="008C17AC">
        <w:rPr>
          <w:rFonts w:ascii="Times New Roman" w:eastAsia="Times New Roman" w:hAnsi="Times New Roman" w:cs="Times New Roman"/>
        </w:rPr>
        <w:t>. Thirty research questions were non-comparative and 27 were comparative but cross-sectional, precluding any causal inference.</w:t>
      </w:r>
      <w:r w:rsidRPr="008C17AC">
        <w:rPr>
          <w:rFonts w:ascii="Times New Roman" w:eastAsia="Times New Roman" w:hAnsi="Times New Roman" w:cs="Times New Roman"/>
        </w:rPr>
        <w:t xml:space="preserve"> Despite studies investigating a range of interventions, employing a range of intervention methods, and addressing various outcomes, nonetheless our findings indicate that in general the </w:t>
      </w:r>
      <w:r w:rsidRPr="008C17AC">
        <w:rPr>
          <w:rFonts w:ascii="Times New Roman" w:eastAsia="Times New Roman" w:hAnsi="Times New Roman" w:cs="Times New Roman"/>
        </w:rPr>
        <w:lastRenderedPageBreak/>
        <w:t xml:space="preserve">evidence-base </w:t>
      </w:r>
      <w:r w:rsidR="5E052C71" w:rsidRPr="008C17AC">
        <w:rPr>
          <w:rFonts w:ascii="Times New Roman" w:eastAsia="Times New Roman" w:hAnsi="Times New Roman" w:cs="Times New Roman"/>
        </w:rPr>
        <w:t xml:space="preserve">of which Open Science interventions improve reproducibility of research </w:t>
      </w:r>
      <w:r w:rsidRPr="008C17AC">
        <w:rPr>
          <w:rFonts w:ascii="Times New Roman" w:eastAsia="Times New Roman" w:hAnsi="Times New Roman" w:cs="Times New Roman"/>
        </w:rPr>
        <w:t>remains remarkably limited in many respects.</w:t>
      </w:r>
    </w:p>
    <w:p w14:paraId="6730FF64" w14:textId="39173B69" w:rsidR="159D4331" w:rsidRPr="008C17AC" w:rsidRDefault="57C889B7" w:rsidP="1A6C9FDE">
      <w:pPr>
        <w:pStyle w:val="Kop2"/>
        <w:spacing w:before="160" w:after="80" w:line="257" w:lineRule="auto"/>
        <w:rPr>
          <w:rFonts w:ascii="Times New Roman" w:eastAsia="Times New Roman" w:hAnsi="Times New Roman" w:cs="Times New Roman"/>
          <w:b/>
          <w:bCs/>
          <w:i/>
          <w:iCs/>
          <w:color w:val="auto"/>
          <w:sz w:val="22"/>
          <w:szCs w:val="22"/>
        </w:rPr>
      </w:pPr>
      <w:r w:rsidRPr="008C17AC">
        <w:rPr>
          <w:rFonts w:ascii="Times New Roman" w:eastAsia="Times New Roman" w:hAnsi="Times New Roman" w:cs="Times New Roman"/>
          <w:b/>
          <w:bCs/>
          <w:i/>
          <w:iCs/>
          <w:color w:val="auto"/>
          <w:sz w:val="22"/>
          <w:szCs w:val="22"/>
        </w:rPr>
        <w:t>State of the evidence on effectiveness of interventions</w:t>
      </w:r>
    </w:p>
    <w:p w14:paraId="012292B9" w14:textId="3C3D09E6" w:rsidR="59D4AA26" w:rsidRPr="008C17AC" w:rsidRDefault="5F1170B9" w:rsidP="23EF21E2">
      <w:pPr>
        <w:spacing w:line="360" w:lineRule="auto"/>
        <w:rPr>
          <w:rFonts w:ascii="Times New Roman" w:eastAsia="Times New Roman" w:hAnsi="Times New Roman" w:cs="Times New Roman"/>
        </w:rPr>
      </w:pPr>
      <w:r w:rsidRPr="008C17AC">
        <w:rPr>
          <w:rFonts w:ascii="Times New Roman" w:eastAsia="Times New Roman" w:hAnsi="Times New Roman" w:cs="Times New Roman"/>
        </w:rPr>
        <w:t xml:space="preserve">Despite an </w:t>
      </w:r>
      <w:r w:rsidR="6ACF9398" w:rsidRPr="008C17AC">
        <w:rPr>
          <w:rFonts w:ascii="Times New Roman" w:eastAsia="Times New Roman" w:hAnsi="Times New Roman" w:cs="Times New Roman"/>
        </w:rPr>
        <w:t>ongoing</w:t>
      </w:r>
      <w:r w:rsidRPr="008C17AC">
        <w:rPr>
          <w:rFonts w:ascii="Times New Roman" w:eastAsia="Times New Roman" w:hAnsi="Times New Roman" w:cs="Times New Roman"/>
        </w:rPr>
        <w:t xml:space="preserve"> conversation </w:t>
      </w:r>
      <w:r w:rsidR="6926D007" w:rsidRPr="008C17AC">
        <w:rPr>
          <w:rFonts w:ascii="Times New Roman" w:eastAsia="Times New Roman" w:hAnsi="Times New Roman" w:cs="Times New Roman"/>
        </w:rPr>
        <w:t xml:space="preserve">throughout academia </w:t>
      </w:r>
      <w:r w:rsidRPr="008C17AC">
        <w:rPr>
          <w:rFonts w:ascii="Times New Roman" w:eastAsia="Times New Roman" w:hAnsi="Times New Roman" w:cs="Times New Roman"/>
        </w:rPr>
        <w:t xml:space="preserve">regarding </w:t>
      </w:r>
      <w:r w:rsidR="3F2442F8" w:rsidRPr="008C17AC">
        <w:rPr>
          <w:rFonts w:ascii="Times New Roman" w:eastAsia="Times New Roman" w:hAnsi="Times New Roman" w:cs="Times New Roman"/>
        </w:rPr>
        <w:t xml:space="preserve">the importance of </w:t>
      </w:r>
      <w:r w:rsidRPr="008C17AC">
        <w:rPr>
          <w:rFonts w:ascii="Times New Roman" w:eastAsia="Times New Roman" w:hAnsi="Times New Roman" w:cs="Times New Roman"/>
        </w:rPr>
        <w:t xml:space="preserve">reproducibility and replicability, and the need to intervene to enable more robust and transparent research practices, studies testing interventions </w:t>
      </w:r>
      <w:r w:rsidR="3621A4C8" w:rsidRPr="008C17AC">
        <w:rPr>
          <w:rFonts w:ascii="Times New Roman" w:eastAsia="Times New Roman" w:hAnsi="Times New Roman" w:cs="Times New Roman"/>
        </w:rPr>
        <w:t>in these areas</w:t>
      </w:r>
      <w:r w:rsidRPr="008C17AC">
        <w:rPr>
          <w:rFonts w:ascii="Times New Roman" w:eastAsia="Times New Roman" w:hAnsi="Times New Roman" w:cs="Times New Roman"/>
        </w:rPr>
        <w:t xml:space="preserve"> remain relatively scarce. Save for two larger clusters of studies focused on efficacy of data</w:t>
      </w:r>
      <w:r w:rsidR="462C1DCE" w:rsidRPr="008C17AC">
        <w:rPr>
          <w:rFonts w:ascii="Times New Roman" w:eastAsia="Times New Roman" w:hAnsi="Times New Roman" w:cs="Times New Roman"/>
        </w:rPr>
        <w:t xml:space="preserve"> </w:t>
      </w:r>
      <w:r w:rsidRPr="008C17AC">
        <w:rPr>
          <w:rFonts w:ascii="Times New Roman" w:eastAsia="Times New Roman" w:hAnsi="Times New Roman" w:cs="Times New Roman"/>
        </w:rPr>
        <w:t>sharing policies and reporting guidelines, many prominently</w:t>
      </w:r>
      <w:r w:rsidR="7E8881E8" w:rsidRPr="008C17AC">
        <w:rPr>
          <w:rFonts w:ascii="Times New Roman" w:eastAsia="Times New Roman" w:hAnsi="Times New Roman" w:cs="Times New Roman"/>
        </w:rPr>
        <w:t xml:space="preserve"> </w:t>
      </w:r>
      <w:r w:rsidRPr="008C17AC">
        <w:rPr>
          <w:rFonts w:ascii="Times New Roman" w:eastAsia="Times New Roman" w:hAnsi="Times New Roman" w:cs="Times New Roman"/>
        </w:rPr>
        <w:t>discussed areas of intervention (e.g., training, pre-registration, badges) have</w:t>
      </w:r>
      <w:r w:rsidR="3180EF7F" w:rsidRPr="008C17AC">
        <w:rPr>
          <w:rFonts w:ascii="Times New Roman" w:eastAsia="Times New Roman" w:hAnsi="Times New Roman" w:cs="Times New Roman"/>
        </w:rPr>
        <w:t xml:space="preserve"> been</w:t>
      </w:r>
      <w:r w:rsidRPr="008C17AC">
        <w:rPr>
          <w:rFonts w:ascii="Times New Roman" w:eastAsia="Times New Roman" w:hAnsi="Times New Roman" w:cs="Times New Roman"/>
        </w:rPr>
        <w:t xml:space="preserve"> investigated by fewer than 10 studies</w:t>
      </w:r>
      <w:r w:rsidR="37D7ADA8" w:rsidRPr="008C17AC">
        <w:rPr>
          <w:rFonts w:ascii="Times New Roman" w:eastAsia="Times New Roman" w:hAnsi="Times New Roman" w:cs="Times New Roman"/>
        </w:rPr>
        <w:t>, often with sub-optimal designs</w:t>
      </w:r>
      <w:r w:rsidRPr="008C17AC">
        <w:rPr>
          <w:rFonts w:ascii="Times New Roman" w:eastAsia="Times New Roman" w:hAnsi="Times New Roman" w:cs="Times New Roman"/>
        </w:rPr>
        <w:t>. Regarding outcomes, only 1</w:t>
      </w:r>
      <w:r w:rsidR="032F0475" w:rsidRPr="008C17AC">
        <w:rPr>
          <w:rFonts w:ascii="Times New Roman" w:eastAsia="Times New Roman" w:hAnsi="Times New Roman" w:cs="Times New Roman"/>
        </w:rPr>
        <w:t>5</w:t>
      </w:r>
      <w:r w:rsidRPr="008C17AC">
        <w:rPr>
          <w:rFonts w:ascii="Times New Roman" w:eastAsia="Times New Roman" w:hAnsi="Times New Roman" w:cs="Times New Roman"/>
        </w:rPr>
        <w:t xml:space="preserve"> studies focused on effects </w:t>
      </w:r>
      <w:r w:rsidR="30A96B39" w:rsidRPr="008C17AC">
        <w:rPr>
          <w:rFonts w:ascii="Times New Roman" w:eastAsia="Times New Roman" w:hAnsi="Times New Roman" w:cs="Times New Roman"/>
        </w:rPr>
        <w:t>related to</w:t>
      </w:r>
      <w:r w:rsidRPr="008C17AC">
        <w:rPr>
          <w:rFonts w:ascii="Times New Roman" w:eastAsia="Times New Roman" w:hAnsi="Times New Roman" w:cs="Times New Roman"/>
        </w:rPr>
        <w:t xml:space="preserve"> reproducibility/replicability directly, with others targeting proxy outcomes mostly related to transparency of reporting or sharing of research materials. While the latter are necessary building-blocks for enabling reproducibility, their study as outcomes does not directly measure </w:t>
      </w:r>
      <w:r w:rsidR="3BA383D6" w:rsidRPr="008C17AC">
        <w:rPr>
          <w:rFonts w:ascii="Times New Roman" w:eastAsia="Times New Roman" w:hAnsi="Times New Roman" w:cs="Times New Roman"/>
        </w:rPr>
        <w:t xml:space="preserve">any </w:t>
      </w:r>
      <w:r w:rsidRPr="008C17AC">
        <w:rPr>
          <w:rFonts w:ascii="Times New Roman" w:eastAsia="Times New Roman" w:hAnsi="Times New Roman" w:cs="Times New Roman"/>
        </w:rPr>
        <w:t>effects upon the robustness of results. Interventions that did focus on reproducibility/replication directly had mixed results, highlighting the need for experimental research specifically designed to test interventions under controlled conditions</w:t>
      </w:r>
      <w:r w:rsidR="1EA77D51" w:rsidRPr="008C17AC">
        <w:rPr>
          <w:rFonts w:ascii="Times New Roman" w:eastAsia="Times New Roman" w:hAnsi="Times New Roman" w:cs="Times New Roman"/>
        </w:rPr>
        <w:t xml:space="preserve"> to provide more definitive evidence</w:t>
      </w:r>
      <w:r w:rsidRPr="008C17AC">
        <w:rPr>
          <w:rFonts w:ascii="Times New Roman" w:eastAsia="Times New Roman" w:hAnsi="Times New Roman" w:cs="Times New Roman"/>
        </w:rPr>
        <w:t xml:space="preserve">. However, while observational and non-randomised designs were common, we identified only a limited number of experimental studies, including </w:t>
      </w:r>
      <w:r w:rsidR="68F64999" w:rsidRPr="008C17AC">
        <w:rPr>
          <w:rFonts w:ascii="Times New Roman" w:eastAsia="Times New Roman" w:hAnsi="Times New Roman" w:cs="Times New Roman"/>
        </w:rPr>
        <w:t>six</w:t>
      </w:r>
      <w:r w:rsidR="687769A6" w:rsidRPr="008C17AC">
        <w:rPr>
          <w:rFonts w:ascii="Times New Roman" w:eastAsia="Times New Roman" w:hAnsi="Times New Roman" w:cs="Times New Roman"/>
        </w:rPr>
        <w:t xml:space="preserve"> </w:t>
      </w:r>
      <w:r w:rsidRPr="008C17AC">
        <w:rPr>
          <w:rFonts w:ascii="Times New Roman" w:eastAsia="Times New Roman" w:hAnsi="Times New Roman" w:cs="Times New Roman"/>
        </w:rPr>
        <w:t xml:space="preserve">randomized controlled trials. </w:t>
      </w:r>
    </w:p>
    <w:p w14:paraId="2BA5FB09" w14:textId="1CCBD72B" w:rsidR="7CF1CDB5" w:rsidRPr="008C17AC" w:rsidRDefault="1BFBD019" w:rsidP="1A6C9FDE">
      <w:pPr>
        <w:spacing w:line="360" w:lineRule="auto"/>
        <w:rPr>
          <w:rFonts w:ascii="Times New Roman" w:eastAsia="Times New Roman" w:hAnsi="Times New Roman" w:cs="Times New Roman"/>
        </w:rPr>
      </w:pPr>
      <w:r w:rsidRPr="008C17AC">
        <w:rPr>
          <w:rFonts w:ascii="Times New Roman" w:eastAsia="Times New Roman" w:hAnsi="Times New Roman" w:cs="Times New Roman"/>
        </w:rPr>
        <w:t>As many proposed interventions in this space may increase workload</w:t>
      </w:r>
      <w:r w:rsidR="00062D3F" w:rsidRPr="008C17AC">
        <w:rPr>
          <w:rFonts w:ascii="Times New Roman" w:eastAsia="Times New Roman" w:hAnsi="Times New Roman" w:cs="Times New Roman"/>
        </w:rPr>
        <w:t xml:space="preserve"> and costs</w:t>
      </w:r>
      <w:r w:rsidRPr="008C17AC">
        <w:rPr>
          <w:rFonts w:ascii="Times New Roman" w:eastAsia="Times New Roman" w:hAnsi="Times New Roman" w:cs="Times New Roman"/>
        </w:rPr>
        <w:t xml:space="preserve"> for researchers, editors and other stakeholders, it is </w:t>
      </w:r>
      <w:r w:rsidR="00062D3F" w:rsidRPr="008C17AC">
        <w:rPr>
          <w:rFonts w:ascii="Times New Roman" w:eastAsia="Times New Roman" w:hAnsi="Times New Roman" w:cs="Times New Roman"/>
        </w:rPr>
        <w:t>important</w:t>
      </w:r>
      <w:r w:rsidRPr="008C17AC">
        <w:rPr>
          <w:rFonts w:ascii="Times New Roman" w:eastAsia="Times New Roman" w:hAnsi="Times New Roman" w:cs="Times New Roman"/>
        </w:rPr>
        <w:t xml:space="preserve"> that we know th</w:t>
      </w:r>
      <w:r w:rsidR="00062D3F" w:rsidRPr="008C17AC">
        <w:rPr>
          <w:rFonts w:ascii="Times New Roman" w:eastAsia="Times New Roman" w:hAnsi="Times New Roman" w:cs="Times New Roman"/>
        </w:rPr>
        <w:t>ese resources are</w:t>
      </w:r>
      <w:r w:rsidRPr="008C17AC">
        <w:rPr>
          <w:rFonts w:ascii="Times New Roman" w:eastAsia="Times New Roman" w:hAnsi="Times New Roman" w:cs="Times New Roman"/>
        </w:rPr>
        <w:t xml:space="preserve"> being spent on practices that are evidenced as being effective. </w:t>
      </w:r>
      <w:r w:rsidR="00062D3F" w:rsidRPr="008C17AC">
        <w:rPr>
          <w:rFonts w:ascii="Times New Roman" w:eastAsia="Times New Roman" w:hAnsi="Times New Roman" w:cs="Times New Roman"/>
        </w:rPr>
        <w:t xml:space="preserve">We </w:t>
      </w:r>
      <w:r w:rsidR="02BBEAA4" w:rsidRPr="008C17AC">
        <w:rPr>
          <w:rFonts w:ascii="Times New Roman" w:eastAsia="Times New Roman" w:hAnsi="Times New Roman" w:cs="Times New Roman"/>
        </w:rPr>
        <w:t>assess</w:t>
      </w:r>
      <w:r w:rsidR="00062D3F" w:rsidRPr="008C17AC">
        <w:rPr>
          <w:rFonts w:ascii="Times New Roman" w:eastAsia="Times New Roman" w:hAnsi="Times New Roman" w:cs="Times New Roman"/>
        </w:rPr>
        <w:t>ed</w:t>
      </w:r>
      <w:r w:rsidR="02BBEAA4" w:rsidRPr="008C17AC">
        <w:rPr>
          <w:rFonts w:ascii="Times New Roman" w:eastAsia="Times New Roman" w:hAnsi="Times New Roman" w:cs="Times New Roman"/>
        </w:rPr>
        <w:t xml:space="preserve"> whether the authors of the included articles concluded </w:t>
      </w:r>
      <w:r w:rsidR="3C745E40" w:rsidRPr="008C17AC">
        <w:rPr>
          <w:rFonts w:ascii="Times New Roman" w:eastAsia="Times New Roman" w:hAnsi="Times New Roman" w:cs="Times New Roman"/>
        </w:rPr>
        <w:t xml:space="preserve">that they were effective or not. Negative consequences of interventions were basically </w:t>
      </w:r>
      <w:r w:rsidR="2A8867CA" w:rsidRPr="008C17AC">
        <w:rPr>
          <w:rFonts w:ascii="Times New Roman" w:eastAsia="Times New Roman" w:hAnsi="Times New Roman" w:cs="Times New Roman"/>
        </w:rPr>
        <w:t>not reported</w:t>
      </w:r>
      <w:r w:rsidR="3C745E40" w:rsidRPr="008C17AC">
        <w:rPr>
          <w:rFonts w:ascii="Times New Roman" w:eastAsia="Times New Roman" w:hAnsi="Times New Roman" w:cs="Times New Roman"/>
        </w:rPr>
        <w:t xml:space="preserve"> (e.g., we did not find that something led to less data sharing compared to usual)</w:t>
      </w:r>
      <w:r w:rsidR="02BBEAA4" w:rsidRPr="008C17AC">
        <w:rPr>
          <w:rFonts w:ascii="Times New Roman" w:eastAsia="Times New Roman" w:hAnsi="Times New Roman" w:cs="Times New Roman"/>
        </w:rPr>
        <w:t>. As this is a scoping review aimed at a general overview of the field</w:t>
      </w:r>
      <w:r w:rsidR="34E9CAEE" w:rsidRPr="008C17AC">
        <w:rPr>
          <w:rFonts w:ascii="Times New Roman" w:eastAsia="Times New Roman" w:hAnsi="Times New Roman" w:cs="Times New Roman"/>
        </w:rPr>
        <w:t xml:space="preserve"> and encompasses a wide variety of cross-disciplinary research designs,</w:t>
      </w:r>
      <w:r w:rsidR="02BBEAA4" w:rsidRPr="008C17AC">
        <w:rPr>
          <w:rFonts w:ascii="Times New Roman" w:eastAsia="Times New Roman" w:hAnsi="Times New Roman" w:cs="Times New Roman"/>
        </w:rPr>
        <w:t xml:space="preserve"> we did not formally assess the methodological qu</w:t>
      </w:r>
      <w:r w:rsidR="3988A25C" w:rsidRPr="008C17AC">
        <w:rPr>
          <w:rFonts w:ascii="Times New Roman" w:eastAsia="Times New Roman" w:hAnsi="Times New Roman" w:cs="Times New Roman"/>
        </w:rPr>
        <w:t>ality of the included research and there</w:t>
      </w:r>
      <w:r w:rsidR="6E88DB92" w:rsidRPr="008C17AC">
        <w:rPr>
          <w:rFonts w:ascii="Times New Roman" w:eastAsia="Times New Roman" w:hAnsi="Times New Roman" w:cs="Times New Roman"/>
        </w:rPr>
        <w:t>fore</w:t>
      </w:r>
      <w:r w:rsidR="3988A25C" w:rsidRPr="008C17AC">
        <w:rPr>
          <w:rFonts w:ascii="Times New Roman" w:eastAsia="Times New Roman" w:hAnsi="Times New Roman" w:cs="Times New Roman"/>
        </w:rPr>
        <w:t xml:space="preserve"> are not able to firmly draw conclusions about the </w:t>
      </w:r>
      <w:r w:rsidR="75CB89A0" w:rsidRPr="008C17AC">
        <w:rPr>
          <w:rFonts w:ascii="Times New Roman" w:eastAsia="Times New Roman" w:hAnsi="Times New Roman" w:cs="Times New Roman"/>
        </w:rPr>
        <w:t>quality of evidence for the</w:t>
      </w:r>
      <w:r w:rsidR="3988A25C" w:rsidRPr="008C17AC">
        <w:rPr>
          <w:rFonts w:ascii="Times New Roman" w:eastAsia="Times New Roman" w:hAnsi="Times New Roman" w:cs="Times New Roman"/>
        </w:rPr>
        <w:t xml:space="preserve"> interventions retrieved. </w:t>
      </w:r>
      <w:r w:rsidR="06DA80AF" w:rsidRPr="008C17AC">
        <w:rPr>
          <w:rFonts w:ascii="Times New Roman" w:eastAsia="Times New Roman" w:hAnsi="Times New Roman" w:cs="Times New Roman"/>
        </w:rPr>
        <w:t xml:space="preserve">However, </w:t>
      </w:r>
      <w:r w:rsidR="1C8FD1B8" w:rsidRPr="008C17AC">
        <w:rPr>
          <w:rFonts w:ascii="Times New Roman" w:eastAsia="Times New Roman" w:hAnsi="Times New Roman" w:cs="Times New Roman"/>
        </w:rPr>
        <w:t>most</w:t>
      </w:r>
      <w:r w:rsidR="3988A25C" w:rsidRPr="008C17AC">
        <w:rPr>
          <w:rFonts w:ascii="Times New Roman" w:eastAsia="Times New Roman" w:hAnsi="Times New Roman" w:cs="Times New Roman"/>
        </w:rPr>
        <w:t xml:space="preserve"> included studi</w:t>
      </w:r>
      <w:r w:rsidR="55D1D03B" w:rsidRPr="008C17AC">
        <w:rPr>
          <w:rFonts w:ascii="Times New Roman" w:eastAsia="Times New Roman" w:hAnsi="Times New Roman" w:cs="Times New Roman"/>
        </w:rPr>
        <w:t xml:space="preserve">es </w:t>
      </w:r>
      <w:r w:rsidR="00062D3F" w:rsidRPr="008C17AC">
        <w:rPr>
          <w:rFonts w:ascii="Times New Roman" w:eastAsia="Times New Roman" w:hAnsi="Times New Roman" w:cs="Times New Roman"/>
        </w:rPr>
        <w:t>used a cross-sectional design or lacked a control group and</w:t>
      </w:r>
      <w:r w:rsidR="007A4F76" w:rsidRPr="008C17AC">
        <w:rPr>
          <w:rFonts w:ascii="Times New Roman" w:eastAsia="Times New Roman" w:hAnsi="Times New Roman" w:cs="Times New Roman"/>
        </w:rPr>
        <w:t xml:space="preserve"> are by design unsuitable</w:t>
      </w:r>
      <w:r w:rsidR="00062D3F" w:rsidRPr="008C17AC">
        <w:rPr>
          <w:rFonts w:ascii="Times New Roman" w:eastAsia="Times New Roman" w:hAnsi="Times New Roman" w:cs="Times New Roman"/>
        </w:rPr>
        <w:t xml:space="preserve"> </w:t>
      </w:r>
      <w:r w:rsidR="007A4F76" w:rsidRPr="008C17AC">
        <w:rPr>
          <w:rFonts w:ascii="Times New Roman" w:eastAsia="Times New Roman" w:hAnsi="Times New Roman" w:cs="Times New Roman"/>
        </w:rPr>
        <w:t>to assess the effect of an intervention</w:t>
      </w:r>
      <w:r w:rsidR="01214927" w:rsidRPr="008C17AC">
        <w:rPr>
          <w:rFonts w:ascii="Times New Roman" w:eastAsia="Times New Roman" w:hAnsi="Times New Roman" w:cs="Times New Roman"/>
        </w:rPr>
        <w:t xml:space="preserve">. </w:t>
      </w:r>
    </w:p>
    <w:p w14:paraId="5BCFE85D" w14:textId="0BD0EF91" w:rsidR="7CF1CDB5" w:rsidRPr="008C17AC" w:rsidRDefault="01214927" w:rsidP="7779BBFE">
      <w:pPr>
        <w:spacing w:line="360" w:lineRule="auto"/>
        <w:rPr>
          <w:rFonts w:ascii="Times New Roman" w:eastAsia="Times New Roman" w:hAnsi="Times New Roman" w:cs="Times New Roman"/>
        </w:rPr>
      </w:pPr>
      <w:r w:rsidRPr="008C17AC">
        <w:rPr>
          <w:rFonts w:ascii="Times New Roman" w:eastAsia="Times New Roman" w:hAnsi="Times New Roman" w:cs="Times New Roman"/>
        </w:rPr>
        <w:t xml:space="preserve">Lack of research under controlled conditions and </w:t>
      </w:r>
      <w:r w:rsidR="73EA1933" w:rsidRPr="008C17AC">
        <w:rPr>
          <w:rFonts w:ascii="Times New Roman" w:eastAsia="Times New Roman" w:hAnsi="Times New Roman" w:cs="Times New Roman"/>
        </w:rPr>
        <w:t xml:space="preserve">a </w:t>
      </w:r>
      <w:r w:rsidRPr="008C17AC">
        <w:rPr>
          <w:rFonts w:ascii="Times New Roman" w:eastAsia="Times New Roman" w:hAnsi="Times New Roman" w:cs="Times New Roman"/>
        </w:rPr>
        <w:t>focus on proxy measures rather than reproducibility/replicability themselves may impact the overall robustness of evidence in this area</w:t>
      </w:r>
      <w:r w:rsidR="007A4F76" w:rsidRPr="008C17AC">
        <w:rPr>
          <w:rFonts w:ascii="Times New Roman" w:eastAsia="Times New Roman" w:hAnsi="Times New Roman" w:cs="Times New Roman"/>
        </w:rPr>
        <w:t>. This</w:t>
      </w:r>
      <w:r w:rsidRPr="008C17AC">
        <w:rPr>
          <w:rFonts w:ascii="Times New Roman" w:eastAsia="Times New Roman" w:hAnsi="Times New Roman" w:cs="Times New Roman"/>
        </w:rPr>
        <w:t xml:space="preserve"> limit</w:t>
      </w:r>
      <w:r w:rsidR="007A4F76" w:rsidRPr="008C17AC">
        <w:rPr>
          <w:rFonts w:ascii="Times New Roman" w:eastAsia="Times New Roman" w:hAnsi="Times New Roman" w:cs="Times New Roman"/>
        </w:rPr>
        <w:t>s</w:t>
      </w:r>
      <w:r w:rsidRPr="008C17AC">
        <w:rPr>
          <w:rFonts w:ascii="Times New Roman" w:eastAsia="Times New Roman" w:hAnsi="Times New Roman" w:cs="Times New Roman"/>
        </w:rPr>
        <w:t xml:space="preserve"> the extent to which we can currently conclusively discern whether interventions aimed at improving research reproducibility and replicability are actually working. </w:t>
      </w:r>
      <w:r w:rsidR="6A7E54BA" w:rsidRPr="008C17AC">
        <w:rPr>
          <w:rFonts w:ascii="Times New Roman" w:eastAsia="Times New Roman" w:hAnsi="Times New Roman" w:cs="Times New Roman"/>
        </w:rPr>
        <w:t>Still, most authors (</w:t>
      </w:r>
      <w:r w:rsidR="3C745E40" w:rsidRPr="008C17AC">
        <w:rPr>
          <w:rFonts w:ascii="Times New Roman" w:eastAsia="Times New Roman" w:hAnsi="Times New Roman" w:cs="Times New Roman"/>
        </w:rPr>
        <w:t>60</w:t>
      </w:r>
      <w:r w:rsidR="6A7E54BA" w:rsidRPr="008C17AC">
        <w:rPr>
          <w:rFonts w:ascii="Times New Roman" w:eastAsia="Times New Roman" w:hAnsi="Times New Roman" w:cs="Times New Roman"/>
        </w:rPr>
        <w:t xml:space="preserve"> out of </w:t>
      </w:r>
      <w:r w:rsidR="3C745E40" w:rsidRPr="008C17AC">
        <w:rPr>
          <w:rFonts w:ascii="Times New Roman" w:eastAsia="Times New Roman" w:hAnsi="Times New Roman" w:cs="Times New Roman"/>
        </w:rPr>
        <w:t>104</w:t>
      </w:r>
      <w:r w:rsidR="6A7E54BA" w:rsidRPr="008C17AC">
        <w:rPr>
          <w:rFonts w:ascii="Times New Roman" w:eastAsia="Times New Roman" w:hAnsi="Times New Roman" w:cs="Times New Roman"/>
        </w:rPr>
        <w:t xml:space="preserve">) concluded positively about the effect of the intervention tested. </w:t>
      </w:r>
      <w:r w:rsidR="00227005" w:rsidRPr="008C17AC">
        <w:rPr>
          <w:rFonts w:ascii="Times New Roman" w:eastAsia="Times New Roman" w:hAnsi="Times New Roman" w:cs="Times New Roman"/>
        </w:rPr>
        <w:t xml:space="preserve">The overwhelmingly positive to neutral nature of the author-stated claims regarding efficacy found in our review </w:t>
      </w:r>
      <w:r w:rsidR="00B8264C" w:rsidRPr="008C17AC">
        <w:rPr>
          <w:rFonts w:ascii="Times New Roman" w:eastAsia="Times New Roman" w:hAnsi="Times New Roman" w:cs="Times New Roman"/>
        </w:rPr>
        <w:t>may</w:t>
      </w:r>
      <w:r w:rsidR="00227005" w:rsidRPr="008C17AC">
        <w:rPr>
          <w:rFonts w:ascii="Times New Roman" w:eastAsia="Times New Roman" w:hAnsi="Times New Roman" w:cs="Times New Roman"/>
        </w:rPr>
        <w:t xml:space="preserve"> </w:t>
      </w:r>
      <w:r w:rsidR="00B8264C" w:rsidRPr="008C17AC">
        <w:rPr>
          <w:rFonts w:ascii="Times New Roman" w:eastAsia="Times New Roman" w:hAnsi="Times New Roman" w:cs="Times New Roman"/>
        </w:rPr>
        <w:t xml:space="preserve">be </w:t>
      </w:r>
      <w:r w:rsidR="00227005" w:rsidRPr="008C17AC">
        <w:rPr>
          <w:rFonts w:ascii="Times New Roman" w:eastAsia="Times New Roman" w:hAnsi="Times New Roman" w:cs="Times New Roman"/>
        </w:rPr>
        <w:t xml:space="preserve">ironically indicative that meta-research at present may suffer from possible selective reporting and publication bias </w:t>
      </w:r>
      <w:r w:rsidR="00227005" w:rsidRPr="008C17AC">
        <w:rPr>
          <w:rFonts w:ascii="Times New Roman" w:eastAsia="Times New Roman" w:hAnsi="Times New Roman" w:cs="Times New Roman"/>
        </w:rPr>
        <w:fldChar w:fldCharType="begin"/>
      </w:r>
      <w:r w:rsidR="00227005" w:rsidRPr="008C17AC">
        <w:rPr>
          <w:rFonts w:ascii="Times New Roman" w:eastAsia="Times New Roman" w:hAnsi="Times New Roman" w:cs="Times New Roman"/>
        </w:rPr>
        <w:instrText xml:space="preserve"> ADDIN ZOTERO_ITEM CSL_CITATION {"citationID":"gC9gYH8Q","properties":{"formattedCitation":"[139]","plainCitation":"[139]","noteIndex":0},"citationItems":[{"id":31329,"uris":["http://zotero.org/groups/4983756/items/T66H3IN7"],"itemData":{"id":31329,"type":"article-journal","abstract":"For any given research area, one cannot tell how many studies have been conducted but never reported. The extreme view of the \"file drawer problem\" is that journals are filled with the 5% of the studies that show Type I errors, while the file drawers are filled with the 95% of the studies that show nonsignificant results. Quantitative procedures for computing the tolerance for filed and future null results are reported and illustrated, and the implications are discussed. (15 ref) (PsycINFO Database Record (c) 2016 APA, all rights reserved)","container-title":"Psychological Bulletin","DOI":"10.1037/0033-2909.86.3.638","ISSN":"1939-1455","issue":"3","note":"publisher-place: US\npublisher: American Psychological Association","page":"638-641","source":"APA PsycNet","title":"The file drawer problem and tolerance for null results","volume":"86","author":[{"family":"Rosenthal","given":"Robert"}],"issued":{"date-parts":[["1979"]]}}}],"schema":"https://github.com/citation-style-language/schema/raw/master/csl-citation.json"} </w:instrText>
      </w:r>
      <w:r w:rsidR="00227005" w:rsidRPr="008C17AC">
        <w:rPr>
          <w:rFonts w:ascii="Times New Roman" w:eastAsia="Times New Roman" w:hAnsi="Times New Roman" w:cs="Times New Roman"/>
        </w:rPr>
        <w:fldChar w:fldCharType="separate"/>
      </w:r>
      <w:r w:rsidR="00227005" w:rsidRPr="008C17AC">
        <w:rPr>
          <w:rFonts w:ascii="Times New Roman" w:hAnsi="Times New Roman" w:cs="Times New Roman"/>
        </w:rPr>
        <w:t>[139</w:t>
      </w:r>
      <w:r w:rsidR="00227005" w:rsidRPr="008C17AC">
        <w:rPr>
          <w:rFonts w:ascii="Times New Roman" w:eastAsia="Times New Roman" w:hAnsi="Times New Roman" w:cs="Times New Roman"/>
        </w:rPr>
        <w:fldChar w:fldCharType="end"/>
      </w:r>
      <w:r w:rsidR="00227005" w:rsidRPr="008C17AC">
        <w:rPr>
          <w:rFonts w:ascii="Times New Roman" w:eastAsia="Times New Roman" w:hAnsi="Times New Roman" w:cs="Times New Roman"/>
        </w:rPr>
        <w:t>,</w:t>
      </w:r>
      <w:r w:rsidR="00227005" w:rsidRPr="008C17AC">
        <w:rPr>
          <w:rFonts w:ascii="Times New Roman" w:eastAsia="Times New Roman" w:hAnsi="Times New Roman" w:cs="Times New Roman"/>
        </w:rPr>
        <w:fldChar w:fldCharType="begin"/>
      </w:r>
      <w:r w:rsidR="00227005" w:rsidRPr="008C17AC">
        <w:rPr>
          <w:rFonts w:ascii="Times New Roman" w:eastAsia="Times New Roman" w:hAnsi="Times New Roman" w:cs="Times New Roman"/>
        </w:rPr>
        <w:instrText xml:space="preserve"> ADDIN ZOTERO_ITEM CSL_CITATION {"citationID":"7b7C9cuu","properties":{"formattedCitation":"[140,141]","plainCitation":"[140,141]","noteIndex":0},"citationItems":[{"id":31336,"uris":["http://zotero.org/groups/4983756/items/RS76W4WD"],"itemData":{"id":31336,"type":"article-journal","abstract":"Background The increased use of meta-analysis in systematic reviews of healthcare interventions has highlighted several types of bias that can arise during the completion of a randomised controlled trial. Study publication bias and outcome reporting bias have been recognised as a potential threat to the validity of meta-analysis and can make the readily available evidence unreliable for decision making. Methodology/Principal Findings In this update, we review and summarise the evidence from cohort studies that have assessed study publication bias or outcome reporting bias in randomised controlled trials. Twenty studies were eligible of which four were newly identified in this update. Only two followed the cohort all the way through from protocol approval to information regarding publication of outcomes. Fifteen of the studies investigated study publication bias and five investigated outcome reporting bias. Three studies have found that statistically significant outcomes had a higher odds of being fully reported compared to non-significant outcomes (range of odds ratios: 2.2 to 4.7). In comparing trial publications to protocols, we found that 40–62% of studies had at least one primary outcome that was changed, introduced, or omitted. We decided not to undertake meta-analysis due to the differences between studies. Conclusions This update does not change the conclusions of the review in which 16 studies were included. Direct empirical evidence for the existence of study publication bias and outcome reporting bias is shown. There is strong evidence of an association between significant results and publication; studies that report positive or significant results are more likely to be published and outcomes that are statistically significant have higher odds of being fully reported. Publications have been found to be inconsistent with their protocols. Researchers need to be aware of the problems of both types of bias and efforts should be concentrated on improving the reporting of trials.","container-title":"PLOS ONE","DOI":"10.1371/journal.pone.0066844","ISSN":"1932-6203","issue":"7","journalAbbreviation":"PLOS ONE","language":"en","note":"publisher: Public Library of Science","page":"e66844","source":"PLoS Journals","title":"Systematic Review of the Empirical Evidence of Study Publication Bias and Outcome Reporting Bias — An Updated Review","volume":"8","author":[{"family":"Dwan","given":"Kerry"},{"family":"Gamble","given":"Carrol"},{"family":"Williamson","given":"Paula R."},{"family":"Kirkham","given":"Jamie J."}],"issued":{"date-parts":[["2013",5,7]]}}},{"id":31331,"uris":["http://zotero.org/groups/4983756/items/TYZS4FGG"],"itemData":{"id":31331,"type":"article-journal","abstract":"Publication bias occurs when results of published studies are systematically different from results of unpublished studies. The term “dissemination bias” has also been recommended to describe all forms of biases in the research-dissemination process, including outcome-reporting bias, time-lag bias, gray-literature bias, full-publication bias, language bias, citation bias, and media-attention bias. We can measure publication bias by comparing the results of published and unpublished studies addressing the same question. Following up cohorts of studies from inception and comparing publication levels in studies with statistically significant or “positive” results suggested greater odds of formal publication in those with such results, compared to those without. Within reviews, funnel plots and related statistical methods can be used to indicate presence or absence of publication bias, although these can be unreliable in many circumstances. Methods of avoiding publication bias, by identifying and including unpublished outcomes and unpublished studies, are discussed and evaluated. These include searching without limiting by outcome, searching prospective trials registers, searching informal sources, including meeting abstracts and PhD theses, searching regulatory body websites, contacting authors of included studies, and contacting pharmaceutical or medical device companies for further studies. Adding unpublished studies often alters effect sizes, but may not always eliminate publication bias. The compulsory registration of all clinical trials at inception is an important move forward, but it can be difficult for reviewers to access data from unpublished studies located this way. Publication bias may be reduced by journals by publishing high-quality studies regardless of novelty or unexciting results, and by publishing protocols or full-study data sets. No single step can be relied upon to fully overcome the complex actions involved in publication bias, and a multipronged approach is required by researchers, patients, journal editors, peer reviewers, research sponsors, research ethics committees, and regulatory and legislation authorities.","container-title":"Open Access Journal of Clinical Trials","DOI":"10.2147/OAJCT.S34419","ISSN":"null","note":"publisher: Dove Medical Press\n_eprint: https://www.tandfonline.com/doi/pdf/10.2147/OAJCT.S34419","page":"71–81","source":"Taylor and Francis+NEJM","title":"Publication bias: what is it? How do we measure it? How do we avoid it?","title-short":"Publication bias","volume":"5","author":[{"family":"Song","given":"Fujian"},{"family":"Hooper","given":"Lee"},{"family":"Loke","given":"Yoon K"}],"issued":{"date-parts":[["2013",7,4]]}}}],"schema":"https://github.com/citation-style-language/schema/raw/master/csl-citation.json"} </w:instrText>
      </w:r>
      <w:r w:rsidR="00227005" w:rsidRPr="008C17AC">
        <w:rPr>
          <w:rFonts w:ascii="Times New Roman" w:eastAsia="Times New Roman" w:hAnsi="Times New Roman" w:cs="Times New Roman"/>
        </w:rPr>
        <w:fldChar w:fldCharType="separate"/>
      </w:r>
      <w:r w:rsidR="00227005" w:rsidRPr="008C17AC">
        <w:rPr>
          <w:rFonts w:ascii="Times New Roman" w:hAnsi="Times New Roman" w:cs="Times New Roman"/>
        </w:rPr>
        <w:t>140,141]</w:t>
      </w:r>
      <w:r w:rsidR="00227005" w:rsidRPr="008C17AC">
        <w:rPr>
          <w:rFonts w:ascii="Times New Roman" w:eastAsia="Times New Roman" w:hAnsi="Times New Roman" w:cs="Times New Roman"/>
        </w:rPr>
        <w:fldChar w:fldCharType="end"/>
      </w:r>
      <w:r w:rsidR="00227005" w:rsidRPr="008C17AC">
        <w:rPr>
          <w:rFonts w:ascii="Times New Roman" w:eastAsia="Times New Roman" w:hAnsi="Times New Roman" w:cs="Times New Roman"/>
        </w:rPr>
        <w:t xml:space="preserve"> or </w:t>
      </w:r>
      <w:r w:rsidR="62308517" w:rsidRPr="008C17AC">
        <w:rPr>
          <w:rFonts w:ascii="Times New Roman" w:eastAsia="Times New Roman" w:hAnsi="Times New Roman" w:cs="Times New Roman"/>
        </w:rPr>
        <w:t xml:space="preserve">overoptimistic </w:t>
      </w:r>
      <w:r w:rsidR="4041138B" w:rsidRPr="008C17AC">
        <w:rPr>
          <w:rFonts w:ascii="Times New Roman" w:eastAsia="Times New Roman" w:hAnsi="Times New Roman" w:cs="Times New Roman"/>
        </w:rPr>
        <w:t xml:space="preserve">interpretation </w:t>
      </w:r>
      <w:r w:rsidR="20F6769C" w:rsidRPr="008C17AC">
        <w:rPr>
          <w:rFonts w:ascii="Times New Roman" w:eastAsia="Times New Roman" w:hAnsi="Times New Roman" w:cs="Times New Roman"/>
        </w:rPr>
        <w:t>of</w:t>
      </w:r>
      <w:r w:rsidR="4041138B" w:rsidRPr="008C17AC">
        <w:rPr>
          <w:rFonts w:ascii="Times New Roman" w:eastAsia="Times New Roman" w:hAnsi="Times New Roman" w:cs="Times New Roman"/>
        </w:rPr>
        <w:t xml:space="preserve"> </w:t>
      </w:r>
      <w:r w:rsidR="068F65EA" w:rsidRPr="008C17AC">
        <w:rPr>
          <w:rFonts w:ascii="Times New Roman" w:eastAsia="Times New Roman" w:hAnsi="Times New Roman" w:cs="Times New Roman"/>
        </w:rPr>
        <w:t xml:space="preserve">the results </w:t>
      </w:r>
      <w:r w:rsidR="007A4F76" w:rsidRPr="008C17AC">
        <w:rPr>
          <w:rFonts w:ascii="Times New Roman" w:eastAsia="Times New Roman" w:hAnsi="Times New Roman" w:cs="Times New Roman"/>
        </w:rPr>
        <w:fldChar w:fldCharType="begin"/>
      </w:r>
      <w:r w:rsidR="007A4F76" w:rsidRPr="008C17AC">
        <w:rPr>
          <w:rFonts w:ascii="Times New Roman" w:eastAsia="Times New Roman" w:hAnsi="Times New Roman" w:cs="Times New Roman"/>
        </w:rPr>
        <w:instrText xml:space="preserve"> ADDIN ZOTERO_ITEM CSL_CITATION {"citationID":"OSlL4PFs","properties":{"formattedCitation":"[135]","plainCitation":"[135]","noteIndex":0},"citationItems":[{"id":31339,"uris":["http://zotero.org/groups/4983756/items/97UZG84U","http://zotero.org/groups/4983756/items/4HRCNIQ4"],"itemData":{"id":31339,"type":"article-journal","abstract":"In science, the data are supposed to speak for themselves. However, investigators have great latitude in how they report their results in the medical literature, even in an era of research protocols, pre-specified endpoints, reporting guidelines, and rigorous peer review. Authors' personal agendas, such as financial, personal, and intellectual conflicts of interest, can and sometimes do color how research results are described. Articles in peer-reviewed medical journals are the evidence base not only for the care of patients but also for legal decisions and the scientific record may be tailored for legal reasons as well. Journal editors preside over where and how the results of scientific research are published. We therefore suggest some actions that editors can take to foster a more trustworthy evidence base both for the care of patients and for legal decisions.","container-title":"Medicine and Law","ISSN":"0723-1393","issue":"3","journalAbbreviation":"Med Law","language":"eng","note":"PMID: 17970249","page":"511-525","source":"PubMed","title":"\"Spin\" in scientific writing: scientific mischief and legal jeopardy","title-short":"\"Spin\" in scientific writing","volume":"26","author":[{"family":"Fletcher","given":"Robert H."},{"family":"Black","given":"Bert"}],"issued":{"date-parts":[["2007",9]]}}}],"schema":"https://github.com/citation-style-language/schema/raw/master/csl-citation.json"} </w:instrText>
      </w:r>
      <w:r w:rsidR="007A4F76" w:rsidRPr="008C17AC">
        <w:rPr>
          <w:rFonts w:ascii="Times New Roman" w:eastAsia="Times New Roman" w:hAnsi="Times New Roman" w:cs="Times New Roman"/>
        </w:rPr>
        <w:fldChar w:fldCharType="separate"/>
      </w:r>
      <w:r w:rsidR="007A4F76" w:rsidRPr="008C17AC">
        <w:rPr>
          <w:rFonts w:ascii="Times New Roman" w:hAnsi="Times New Roman" w:cs="Times New Roman"/>
        </w:rPr>
        <w:t>[135]</w:t>
      </w:r>
      <w:r w:rsidR="007A4F76" w:rsidRPr="008C17AC">
        <w:rPr>
          <w:rFonts w:ascii="Times New Roman" w:eastAsia="Times New Roman" w:hAnsi="Times New Roman" w:cs="Times New Roman"/>
        </w:rPr>
        <w:fldChar w:fldCharType="end"/>
      </w:r>
      <w:r w:rsidR="00227005" w:rsidRPr="008C17AC">
        <w:rPr>
          <w:rFonts w:ascii="Times New Roman" w:eastAsia="Times New Roman" w:hAnsi="Times New Roman" w:cs="Times New Roman"/>
        </w:rPr>
        <w:t xml:space="preserve">. </w:t>
      </w:r>
      <w:r w:rsidR="00B8264C" w:rsidRPr="008C17AC">
        <w:rPr>
          <w:rFonts w:ascii="Times New Roman" w:eastAsia="Times New Roman" w:hAnsi="Times New Roman" w:cs="Times New Roman"/>
        </w:rPr>
        <w:t xml:space="preserve">However, it may also be an </w:t>
      </w:r>
      <w:r w:rsidR="00B8264C" w:rsidRPr="008C17AC">
        <w:rPr>
          <w:rFonts w:ascii="Times New Roman" w:eastAsia="Times New Roman" w:hAnsi="Times New Roman" w:cs="Times New Roman"/>
        </w:rPr>
        <w:lastRenderedPageBreak/>
        <w:t xml:space="preserve">indication of the causal links between some interventions and reproducibility, such as that using a reporting checklist is likely to lead to (sometimes slightly) better reporting. </w:t>
      </w:r>
    </w:p>
    <w:p w14:paraId="45D6B2AB" w14:textId="1DD2C3F7" w:rsidR="159D4331" w:rsidRPr="008C17AC" w:rsidRDefault="1E34CF06" w:rsidP="1A6C9FDE">
      <w:pPr>
        <w:pStyle w:val="Kop2"/>
        <w:spacing w:before="160" w:after="80" w:line="257" w:lineRule="auto"/>
        <w:rPr>
          <w:rFonts w:ascii="Times New Roman" w:eastAsia="Times New Roman" w:hAnsi="Times New Roman" w:cs="Times New Roman"/>
          <w:b/>
          <w:bCs/>
          <w:i/>
          <w:iCs/>
          <w:color w:val="auto"/>
          <w:sz w:val="22"/>
          <w:szCs w:val="22"/>
        </w:rPr>
      </w:pPr>
      <w:r w:rsidRPr="008C17AC">
        <w:rPr>
          <w:rFonts w:ascii="Times New Roman" w:eastAsia="Times New Roman" w:hAnsi="Times New Roman" w:cs="Times New Roman"/>
          <w:b/>
          <w:bCs/>
          <w:i/>
          <w:iCs/>
          <w:color w:val="auto"/>
          <w:sz w:val="22"/>
          <w:szCs w:val="22"/>
        </w:rPr>
        <w:t>Disciplinary coverage and methodological challenges</w:t>
      </w:r>
    </w:p>
    <w:p w14:paraId="11B99C8A" w14:textId="099FDDA8" w:rsidR="159D4331" w:rsidRPr="008C17AC" w:rsidRDefault="3F58BF75" w:rsidP="23EF21E2">
      <w:pPr>
        <w:spacing w:line="360" w:lineRule="auto"/>
        <w:rPr>
          <w:rFonts w:ascii="Times New Roman" w:hAnsi="Times New Roman" w:cs="Times New Roman"/>
        </w:rPr>
      </w:pPr>
      <w:r w:rsidRPr="008C17AC">
        <w:rPr>
          <w:rFonts w:ascii="Times New Roman" w:eastAsia="Times New Roman" w:hAnsi="Times New Roman" w:cs="Times New Roman"/>
        </w:rPr>
        <w:t xml:space="preserve">Alarm </w:t>
      </w:r>
      <w:r w:rsidR="007A4F76" w:rsidRPr="008C17AC">
        <w:rPr>
          <w:rFonts w:ascii="Times New Roman" w:eastAsia="Times New Roman" w:hAnsi="Times New Roman" w:cs="Times New Roman"/>
        </w:rPr>
        <w:t xml:space="preserve">about </w:t>
      </w:r>
      <w:r w:rsidRPr="008C17AC">
        <w:rPr>
          <w:rFonts w:ascii="Times New Roman" w:eastAsia="Times New Roman" w:hAnsi="Times New Roman" w:cs="Times New Roman"/>
        </w:rPr>
        <w:t>perceptions of a “reproducibility crisis” were</w:t>
      </w:r>
      <w:r w:rsidR="007A4F76" w:rsidRPr="008C17AC">
        <w:rPr>
          <w:rFonts w:ascii="Times New Roman" w:eastAsia="Times New Roman" w:hAnsi="Times New Roman" w:cs="Times New Roman"/>
        </w:rPr>
        <w:t xml:space="preserve"> initially</w:t>
      </w:r>
      <w:r w:rsidRPr="008C17AC">
        <w:rPr>
          <w:rFonts w:ascii="Times New Roman" w:eastAsia="Times New Roman" w:hAnsi="Times New Roman" w:cs="Times New Roman"/>
        </w:rPr>
        <w:t xml:space="preserve"> fuelled by concerns </w:t>
      </w:r>
      <w:r w:rsidR="2C533A95" w:rsidRPr="008C17AC">
        <w:rPr>
          <w:rFonts w:ascii="Times New Roman" w:eastAsia="Times New Roman" w:hAnsi="Times New Roman" w:cs="Times New Roman"/>
        </w:rPr>
        <w:t>from</w:t>
      </w:r>
      <w:r w:rsidRPr="008C17AC">
        <w:rPr>
          <w:rFonts w:ascii="Times New Roman" w:eastAsia="Times New Roman" w:hAnsi="Times New Roman" w:cs="Times New Roman"/>
        </w:rPr>
        <w:t xml:space="preserve"> a few epistemic communities, especially the health and behavioural sciences. Our findings indicate that </w:t>
      </w:r>
      <w:r w:rsidR="007A4F76" w:rsidRPr="008C17AC">
        <w:rPr>
          <w:rFonts w:ascii="Times New Roman" w:eastAsia="Times New Roman" w:hAnsi="Times New Roman" w:cs="Times New Roman"/>
        </w:rPr>
        <w:t xml:space="preserve">research into reproducibility </w:t>
      </w:r>
      <w:r w:rsidR="1A9253EA" w:rsidRPr="008C17AC">
        <w:rPr>
          <w:rFonts w:ascii="Times New Roman" w:eastAsia="Times New Roman" w:hAnsi="Times New Roman" w:cs="Times New Roman"/>
        </w:rPr>
        <w:t>has focused research</w:t>
      </w:r>
      <w:r w:rsidRPr="008C17AC">
        <w:rPr>
          <w:rFonts w:ascii="Times New Roman" w:eastAsia="Times New Roman" w:hAnsi="Times New Roman" w:cs="Times New Roman"/>
        </w:rPr>
        <w:t xml:space="preserve"> </w:t>
      </w:r>
      <w:r w:rsidR="71832E55" w:rsidRPr="008C17AC">
        <w:rPr>
          <w:rFonts w:ascii="Times New Roman" w:eastAsia="Times New Roman" w:hAnsi="Times New Roman" w:cs="Times New Roman"/>
        </w:rPr>
        <w:t>within</w:t>
      </w:r>
      <w:r w:rsidRPr="008C17AC">
        <w:rPr>
          <w:rFonts w:ascii="Times New Roman" w:eastAsia="Times New Roman" w:hAnsi="Times New Roman" w:cs="Times New Roman"/>
        </w:rPr>
        <w:t xml:space="preserve"> these </w:t>
      </w:r>
      <w:r w:rsidR="007A4F76" w:rsidRPr="008C17AC">
        <w:rPr>
          <w:rFonts w:ascii="Times New Roman" w:eastAsia="Times New Roman" w:hAnsi="Times New Roman" w:cs="Times New Roman"/>
        </w:rPr>
        <w:t>communities</w:t>
      </w:r>
      <w:r w:rsidRPr="008C17AC">
        <w:rPr>
          <w:rFonts w:ascii="Times New Roman" w:eastAsia="Times New Roman" w:hAnsi="Times New Roman" w:cs="Times New Roman"/>
        </w:rPr>
        <w:t xml:space="preserve">. </w:t>
      </w:r>
      <w:r w:rsidR="007A4F76" w:rsidRPr="008C17AC">
        <w:rPr>
          <w:rFonts w:ascii="Times New Roman" w:eastAsia="Times New Roman" w:hAnsi="Times New Roman" w:cs="Times New Roman"/>
        </w:rPr>
        <w:t>T</w:t>
      </w:r>
      <w:r w:rsidRPr="008C17AC">
        <w:rPr>
          <w:rFonts w:ascii="Times New Roman" w:eastAsia="Times New Roman" w:hAnsi="Times New Roman" w:cs="Times New Roman"/>
        </w:rPr>
        <w:t xml:space="preserve">his may indicate a need to </w:t>
      </w:r>
      <w:r w:rsidR="2B548B9A" w:rsidRPr="008C17AC">
        <w:rPr>
          <w:rFonts w:ascii="Times New Roman" w:eastAsia="Times New Roman" w:hAnsi="Times New Roman" w:cs="Times New Roman"/>
        </w:rPr>
        <w:t>explore</w:t>
      </w:r>
      <w:r w:rsidRPr="008C17AC">
        <w:rPr>
          <w:rFonts w:ascii="Times New Roman" w:eastAsia="Times New Roman" w:hAnsi="Times New Roman" w:cs="Times New Roman"/>
        </w:rPr>
        <w:t xml:space="preserve"> further evidence</w:t>
      </w:r>
      <w:r w:rsidR="2C66667E" w:rsidRPr="008C17AC">
        <w:rPr>
          <w:rFonts w:ascii="Times New Roman" w:eastAsia="Times New Roman" w:hAnsi="Times New Roman" w:cs="Times New Roman"/>
        </w:rPr>
        <w:t xml:space="preserve"> for interventions to impact reproducibility</w:t>
      </w:r>
      <w:r w:rsidRPr="008C17AC">
        <w:rPr>
          <w:rFonts w:ascii="Times New Roman" w:eastAsia="Times New Roman" w:hAnsi="Times New Roman" w:cs="Times New Roman"/>
        </w:rPr>
        <w:t xml:space="preserve"> in other areas. </w:t>
      </w:r>
      <w:r w:rsidR="007A4F76" w:rsidRPr="008C17AC">
        <w:rPr>
          <w:rFonts w:ascii="Times New Roman" w:eastAsia="Times New Roman" w:hAnsi="Times New Roman" w:cs="Times New Roman"/>
        </w:rPr>
        <w:t>I</w:t>
      </w:r>
      <w:r w:rsidRPr="008C17AC">
        <w:rPr>
          <w:rFonts w:ascii="Times New Roman" w:eastAsia="Times New Roman" w:hAnsi="Times New Roman" w:cs="Times New Roman"/>
        </w:rPr>
        <w:t xml:space="preserve">t could also suggest that other fields do not face the same degree of challenges to reproducibility, are </w:t>
      </w:r>
      <w:r w:rsidR="1CC60363" w:rsidRPr="008C17AC">
        <w:rPr>
          <w:rFonts w:ascii="Times New Roman" w:eastAsia="Times New Roman" w:hAnsi="Times New Roman" w:cs="Times New Roman"/>
        </w:rPr>
        <w:t>less</w:t>
      </w:r>
      <w:r w:rsidRPr="008C17AC">
        <w:rPr>
          <w:rFonts w:ascii="Times New Roman" w:eastAsia="Times New Roman" w:hAnsi="Times New Roman" w:cs="Times New Roman"/>
        </w:rPr>
        <w:t xml:space="preserve"> engaged with these issues, or find reproducibility to be less relevant for their research (for example, </w:t>
      </w:r>
      <w:r w:rsidR="00784B78" w:rsidRPr="008C17AC">
        <w:rPr>
          <w:rFonts w:ascii="Times New Roman" w:eastAsia="Times New Roman" w:hAnsi="Times New Roman" w:cs="Times New Roman"/>
        </w:rPr>
        <w:t xml:space="preserve">in the </w:t>
      </w:r>
      <w:r w:rsidRPr="008C17AC">
        <w:rPr>
          <w:rFonts w:ascii="Times New Roman" w:eastAsia="Times New Roman" w:hAnsi="Times New Roman" w:cs="Times New Roman"/>
        </w:rPr>
        <w:t xml:space="preserve">areas of humanities or qualitative research </w:t>
      </w:r>
      <w:r w:rsidR="2FAE7DAA" w:rsidRPr="008C17AC">
        <w:rPr>
          <w:rFonts w:ascii="Times New Roman" w:eastAsia="Times New Roman" w:hAnsi="Times New Roman" w:cs="Times New Roman"/>
          <w:sz w:val="24"/>
          <w:szCs w:val="24"/>
        </w:rPr>
        <w:fldChar w:fldCharType="begin"/>
      </w:r>
      <w:r w:rsidR="2FAE7DAA" w:rsidRPr="008C17AC">
        <w:rPr>
          <w:rFonts w:ascii="Times New Roman" w:eastAsia="Times New Roman" w:hAnsi="Times New Roman" w:cs="Times New Roman"/>
          <w:sz w:val="24"/>
          <w:szCs w:val="24"/>
        </w:rPr>
        <w:instrText xml:space="preserve"> ADDIN ZOTERO_ITEM CSL_CITATION {"citationID":"OGZXBHvA","properties":{"formattedCitation":"[25,34,136]","plainCitation":"[25,34,136]","noteIndex":0},"citationItems":[{"id":31217,"uris":["http://zotero.org/groups/4983756/items/DIKACHKE"],"itemData":{"id":31217,"type":"chapter","abstract":"A heated debate surrounds the significance of reproducibility as an indicator for research quality and reliability, with many commentators linking a “crisis of reproducibility” to the rise of fraudulent, careless, and unreliable practices of knowledge production. Through the analysis of discourse and practices across research fields, I point out that reproducibility is not only interpreted in different ways, but also serves a variety of epistemic functions depending on the research at hand. Given such variation, I argue that the uncritical pursuit of reproducibility as an overarching epistemic value is misleading and potentially damaging to scientific advancement. Requirements for reproducibility, however they are interpreted, are one of many available means to secure reliable research outcomes. Furthermore, there are cases where the focus on enhancing reproducibility turns out not to foster high-quality research. Scientific communities and Open Science advocates should learn from inferential reasoning from irreproducible data, and promote incentives for all researchers to explicitly and publicly discuss (1) their methodological commitments, (2) the ways in which they learn from mistakes and problems in everyday practice, and (3) the strategies they use to choose which research components of any project need to be preserved in the long term, and how.","collection-title":"Research in the History of Economic Thought and Methodology","container-title":"Including a Symposium on Mary Morgan: Curiosity, Imagination, and Surprise","ISBN":"978-1-78756-423-7","note":"DOI: 10.1108/S0743-41542018000036B009","page":"129-146","publisher":"Emerald Publishing Limited","source":"Emerald Insight","title":"Rethinking Reproducibility as a Criterion for Research Quality","URL":"https://doi.org/10.1108/S0743-41542018000036B009","volume":"36B","author":[{"family":"Leonelli","given":"Sabina"}],"accessed":{"date-parts":[["2024",5,7]]},"issued":{"date-parts":[["2018",1,1]]}}},{"id":31227,"uris":["http://zotero.org/groups/4983756/items/FSTWBE5B"],"itemData":{"id":31227,"type":"article-journal","abstract":"Replication, broadly defined as the repetition of a research study, generally among different subjects and/or situations, is commonly conducted in quantitative research with the aim of determining whether the basic findings of the original study can be generalized to other circumstances. Qualitative researchers have for many years objected to the notion of replicability, seeing it as being incompatible with qualitative research, on several grounds, including the context-bound nature of qualitative research as well as methodological and representational limitations. Instead, the concept of transferability has been suggested, a concept that refers to the degree to which the results of qualitative research can be transferred to other contexts or settings, conducted among other respondents. However, the value of replication in qualitative research, the similarities and differences between replication and transferability, and the relation between transferability and generalization have, to date, scarcely been discussed. In this paper, I make a claim in favor of a type of replication that is compatible with qualitative research and consider four critical aspects: the type of replication, the researcher’s epistemological stance and approach, the aim of the replication, and the nature of the study. Finally, I present two strategies that are critical when planning a qualitative replication study: consideration of context(s) and the need for transparency. (PsycInfo Database Record (c) 2022 APA, all rights reserved)","container-title":"Qualitative Psychology","DOI":"10.1037/qup0000217","ISSN":"2326-3598","issue":"3","note":"publisher-place: US\npublisher: Educational Publishing Foundation","page":"365-377","source":"APA PsycNet","title":"Is replication relevant for qualitative research?","volume":"8","author":[{"family":"Tuval-Mashiach","given":"Rivka"}],"issued":{"date-parts":[["2021"]]}}},{"id":31295,"uris":["http://zotero.org/groups/4983756/items/RVUFK7XD"],"itemData":{"id":31295,"type":"article-journal","abstract":"The open and transparent documentation of scientific processes has been established as a core antecedent of free knowledge. This also holds for generating robust insights in the scope of research projects. To convince academic peers and the public, the research process must be understandable and retraceable (\n              reproducible\n              ), and repeatable (\n              replicable\n              ) by others, precluding the inclusion of fluke findings into the canon of insights. In this contribution, we outline what reproducibility and replicability (R&amp;R) could mean in the scope of different disciplines and traditions of research and which significance R&amp;R has for generating insights in these fields. We draw on projects conducted in the scope of the Wikimedia \"Open Science Fellows Program\" (\n              Fellowship Freies Wissen\n              ), an interdisciplinary, long-running funding scheme for projects contributing to open research practices. We identify twelve implemented projects from different disciplines which primarily focused on R&amp;R, and multiple additional projects also touching on R&amp;R. From these projects, we identify patterns and synthesize them into a roadmap of how research projects can achieve R&amp;R across different disciplines. We further outline the ground covered by these projects and propose ways forward.","container-title":"Research Ideas and Outcomes","DOI":"10.3897/rio.8.e89980","ISSN":"2367-7163","journalAbbreviation":"RIO","page":"e89980","source":"DOI.org (Crossref)","title":"Sharing the Recipe: Reproducibility and Replicability in Research Across Disciplines","title-short":"Sharing the Recipe","volume":"8","author":[{"family":"Rahal","given":"Rima-Maria"},{"family":"Hamann","given":"Hanjo"},{"family":"Brohmer","given":"Hilmar"},{"family":"Pethig","given":"Florian"}],"issued":{"date-parts":[["2022",11,22]]}}}],"schema":"https://github.com/citation-style-language/schema/raw/master/csl-citation.json"} </w:instrText>
      </w:r>
      <w:r w:rsidR="2FAE7DAA" w:rsidRPr="008C17AC">
        <w:rPr>
          <w:rFonts w:ascii="Times New Roman" w:eastAsia="Times New Roman" w:hAnsi="Times New Roman" w:cs="Times New Roman"/>
          <w:sz w:val="24"/>
          <w:szCs w:val="24"/>
        </w:rPr>
        <w:fldChar w:fldCharType="separate"/>
      </w:r>
      <w:r w:rsidR="7A3DCF76" w:rsidRPr="008C17AC">
        <w:rPr>
          <w:rFonts w:ascii="Times New Roman" w:hAnsi="Times New Roman" w:cs="Times New Roman"/>
        </w:rPr>
        <w:t>[25,34,136]</w:t>
      </w:r>
      <w:r w:rsidR="2FAE7DAA" w:rsidRPr="008C17AC">
        <w:rPr>
          <w:rFonts w:ascii="Times New Roman" w:eastAsia="Times New Roman" w:hAnsi="Times New Roman" w:cs="Times New Roman"/>
          <w:sz w:val="24"/>
          <w:szCs w:val="24"/>
        </w:rPr>
        <w:fldChar w:fldCharType="end"/>
      </w:r>
      <w:r w:rsidR="5431C6FC" w:rsidRPr="008C17AC">
        <w:rPr>
          <w:rFonts w:ascii="Times New Roman" w:eastAsia="Times New Roman" w:hAnsi="Times New Roman" w:cs="Times New Roman"/>
          <w:sz w:val="24"/>
          <w:szCs w:val="24"/>
        </w:rPr>
        <w:t>).</w:t>
      </w:r>
    </w:p>
    <w:p w14:paraId="3C00C653" w14:textId="1E6E4A96" w:rsidR="549B317D" w:rsidRPr="008C17AC" w:rsidRDefault="44AEF459" w:rsidP="23EF21E2">
      <w:pPr>
        <w:spacing w:line="360" w:lineRule="auto"/>
        <w:ind w:firstLine="720"/>
        <w:rPr>
          <w:rFonts w:ascii="Times New Roman" w:eastAsia="Times New Roman" w:hAnsi="Times New Roman" w:cs="Times New Roman"/>
        </w:rPr>
      </w:pPr>
      <w:r w:rsidRPr="008C17AC">
        <w:rPr>
          <w:rFonts w:ascii="Times New Roman" w:eastAsia="Times New Roman" w:hAnsi="Times New Roman" w:cs="Times New Roman"/>
        </w:rPr>
        <w:t>The limited evidence</w:t>
      </w:r>
      <w:r w:rsidR="1E3C583E" w:rsidRPr="008C17AC">
        <w:rPr>
          <w:rFonts w:ascii="Times New Roman" w:eastAsia="Times New Roman" w:hAnsi="Times New Roman" w:cs="Times New Roman"/>
        </w:rPr>
        <w:t>,</w:t>
      </w:r>
      <w:r w:rsidR="7948481D" w:rsidRPr="008C17AC">
        <w:rPr>
          <w:rFonts w:ascii="Times New Roman" w:eastAsia="Times New Roman" w:hAnsi="Times New Roman" w:cs="Times New Roman"/>
        </w:rPr>
        <w:t xml:space="preserve"> </w:t>
      </w:r>
      <w:r w:rsidRPr="008C17AC">
        <w:rPr>
          <w:rFonts w:ascii="Times New Roman" w:eastAsia="Times New Roman" w:hAnsi="Times New Roman" w:cs="Times New Roman"/>
        </w:rPr>
        <w:t>with gaps in some areas and complete lack of findings in others</w:t>
      </w:r>
      <w:r w:rsidR="362F19D0" w:rsidRPr="008C17AC">
        <w:rPr>
          <w:rFonts w:ascii="Times New Roman" w:eastAsia="Times New Roman" w:hAnsi="Times New Roman" w:cs="Times New Roman"/>
        </w:rPr>
        <w:t>,</w:t>
      </w:r>
      <w:r w:rsidRPr="008C17AC">
        <w:rPr>
          <w:rFonts w:ascii="Times New Roman" w:eastAsia="Times New Roman" w:hAnsi="Times New Roman" w:cs="Times New Roman"/>
        </w:rPr>
        <w:t xml:space="preserve"> could be attributed to several different causes. Although the debate is becoming increasingly prominent, research that is conducted in this area possibly lags behind what is discussed. Considerable time might pass before explicit calls for research can be met </w:t>
      </w:r>
      <w:r w:rsidR="7E6FBC3F" w:rsidRPr="008C17AC">
        <w:rPr>
          <w:rFonts w:ascii="Times New Roman" w:eastAsia="Times New Roman" w:hAnsi="Times New Roman" w:cs="Times New Roman"/>
          <w:sz w:val="24"/>
          <w:szCs w:val="24"/>
        </w:rPr>
        <w:fldChar w:fldCharType="begin"/>
      </w:r>
      <w:r w:rsidR="7E6FBC3F" w:rsidRPr="008C17AC">
        <w:rPr>
          <w:rFonts w:ascii="Times New Roman" w:eastAsia="Times New Roman" w:hAnsi="Times New Roman" w:cs="Times New Roman"/>
          <w:sz w:val="24"/>
          <w:szCs w:val="24"/>
        </w:rPr>
        <w:instrText xml:space="preserve"> ADDIN ZOTERO_ITEM CSL_CITATION {"citationID":"VwcghAOy","properties":{"formattedCitation":"[44]","plainCitation":"[44]","noteIndex":0},"citationItems":[{"id":31263,"uris":["http://zotero.org/groups/4983756/items/EK2GE33H"],"itemData":{"id":31263,"type":"article-journal","container-title":"American Psychologist","DOI":"10.1037/amp0000871","ISSN":"1935-990X, 0003-066X","issue":"3","journalAbbreviation":"American Psychologist","language":"en","license":"http://www.apa.org/pubs/journals/resources/open-access.aspx","page":"467-475","source":"DOI.org (Crossref)","title":"Now is the time to assess the effects of open science practiceswith randomized control trials.","volume":"77","author":[{"family":"Suls","given":"Jerry"},{"family":"Rothman","given":"Alexander J."},{"family":"Davidson","given":"Karina W."}],"issued":{"date-parts":[["2022",4]]}}}],"schema":"https://github.com/citation-style-language/schema/raw/master/csl-citation.json"} </w:instrText>
      </w:r>
      <w:r w:rsidR="7E6FBC3F" w:rsidRPr="008C17AC">
        <w:rPr>
          <w:rFonts w:ascii="Times New Roman" w:eastAsia="Times New Roman" w:hAnsi="Times New Roman" w:cs="Times New Roman"/>
          <w:sz w:val="24"/>
          <w:szCs w:val="24"/>
        </w:rPr>
        <w:fldChar w:fldCharType="separate"/>
      </w:r>
      <w:r w:rsidR="5431C6FC" w:rsidRPr="008C17AC">
        <w:rPr>
          <w:rFonts w:ascii="Times New Roman" w:hAnsi="Times New Roman" w:cs="Times New Roman"/>
        </w:rPr>
        <w:t>[44]</w:t>
      </w:r>
      <w:r w:rsidR="7E6FBC3F" w:rsidRPr="008C17AC">
        <w:rPr>
          <w:rFonts w:ascii="Times New Roman" w:eastAsia="Times New Roman" w:hAnsi="Times New Roman" w:cs="Times New Roman"/>
          <w:sz w:val="24"/>
          <w:szCs w:val="24"/>
        </w:rPr>
        <w:fldChar w:fldCharType="end"/>
      </w:r>
      <w:r w:rsidR="5C896DB6" w:rsidRPr="008C17AC">
        <w:rPr>
          <w:rFonts w:ascii="Times New Roman" w:eastAsia="Times New Roman" w:hAnsi="Times New Roman" w:cs="Times New Roman"/>
        </w:rPr>
        <w:t xml:space="preserve"> and funding</w:t>
      </w:r>
      <w:r w:rsidR="7EAFC375" w:rsidRPr="008C17AC">
        <w:rPr>
          <w:rFonts w:ascii="Times New Roman" w:eastAsia="Times New Roman" w:hAnsi="Times New Roman" w:cs="Times New Roman"/>
        </w:rPr>
        <w:t xml:space="preserve"> is</w:t>
      </w:r>
      <w:r w:rsidR="5C896DB6" w:rsidRPr="008C17AC">
        <w:rPr>
          <w:rFonts w:ascii="Times New Roman" w:eastAsia="Times New Roman" w:hAnsi="Times New Roman" w:cs="Times New Roman"/>
        </w:rPr>
        <w:t xml:space="preserve"> made available to allow research to meet the scale and scope required</w:t>
      </w:r>
      <w:r w:rsidR="49E799DB" w:rsidRPr="008C17AC">
        <w:rPr>
          <w:rFonts w:ascii="Times New Roman" w:eastAsia="Times New Roman" w:hAnsi="Times New Roman" w:cs="Times New Roman"/>
        </w:rPr>
        <w:t xml:space="preserve"> of these proposals</w:t>
      </w:r>
      <w:r w:rsidR="21A9F58B" w:rsidRPr="008C17AC">
        <w:rPr>
          <w:rFonts w:ascii="Times New Roman" w:eastAsia="Times New Roman" w:hAnsi="Times New Roman" w:cs="Times New Roman"/>
        </w:rPr>
        <w:t xml:space="preserve">. Also, </w:t>
      </w:r>
      <w:r w:rsidR="1C041D2B" w:rsidRPr="008C17AC">
        <w:rPr>
          <w:rFonts w:ascii="Times New Roman" w:eastAsia="Times New Roman" w:hAnsi="Times New Roman" w:cs="Times New Roman"/>
        </w:rPr>
        <w:t>poorly evidenced</w:t>
      </w:r>
      <w:r w:rsidRPr="008C17AC">
        <w:rPr>
          <w:rFonts w:ascii="Times New Roman" w:eastAsia="Times New Roman" w:hAnsi="Times New Roman" w:cs="Times New Roman"/>
        </w:rPr>
        <w:t xml:space="preserve"> claims on the effectiveness of some intervention, tool or practice might often be repeated, but then not actually tested empirically.</w:t>
      </w:r>
    </w:p>
    <w:p w14:paraId="73E68E07" w14:textId="7510AC95" w:rsidR="0A474357" w:rsidRPr="008C17AC" w:rsidRDefault="00A604BB" w:rsidP="7529D9A3">
      <w:pPr>
        <w:spacing w:line="257" w:lineRule="auto"/>
        <w:rPr>
          <w:rFonts w:ascii="Times New Roman" w:eastAsia="Times New Roman" w:hAnsi="Times New Roman" w:cs="Times New Roman"/>
          <w:b/>
          <w:bCs/>
          <w:i/>
          <w:iCs/>
        </w:rPr>
      </w:pPr>
      <w:r w:rsidRPr="008C17AC">
        <w:rPr>
          <w:rFonts w:ascii="Times New Roman" w:eastAsia="Times New Roman" w:hAnsi="Times New Roman" w:cs="Times New Roman"/>
          <w:b/>
          <w:bCs/>
          <w:i/>
          <w:iCs/>
        </w:rPr>
        <w:t>Limitations</w:t>
      </w:r>
    </w:p>
    <w:p w14:paraId="61BD8DAB" w14:textId="545FE756" w:rsidR="00784B78" w:rsidRPr="008C17AC" w:rsidRDefault="40385EED" w:rsidP="00784B78">
      <w:pPr>
        <w:spacing w:line="360" w:lineRule="auto"/>
        <w:ind w:firstLine="709"/>
        <w:rPr>
          <w:rFonts w:ascii="Times New Roman" w:eastAsia="Times New Roman" w:hAnsi="Times New Roman" w:cs="Times New Roman"/>
        </w:rPr>
      </w:pPr>
      <w:r w:rsidRPr="008C17AC">
        <w:rPr>
          <w:rFonts w:ascii="Times New Roman" w:eastAsia="Times New Roman" w:hAnsi="Times New Roman" w:cs="Times New Roman"/>
        </w:rPr>
        <w:t xml:space="preserve">The primary method for searching articles involved using databases with strict selection criteria. Despite supplementing this with snowballing and searches of secondary literature, it remains </w:t>
      </w:r>
      <w:r w:rsidR="4BED1B65" w:rsidRPr="008C17AC">
        <w:rPr>
          <w:rFonts w:ascii="Times New Roman" w:eastAsia="Times New Roman" w:hAnsi="Times New Roman" w:cs="Times New Roman"/>
        </w:rPr>
        <w:t xml:space="preserve">quite </w:t>
      </w:r>
      <w:r w:rsidRPr="008C17AC">
        <w:rPr>
          <w:rFonts w:ascii="Times New Roman" w:eastAsia="Times New Roman" w:hAnsi="Times New Roman" w:cs="Times New Roman"/>
        </w:rPr>
        <w:t>possible that our review did not include all the available evidence. Of note here, is that although we included all languages, the language-of-publication of the overwhelming majority of our included articles is English. In addition, although our study team encompassed many disciplines, nonetheless our own understandings of reproducibility undoubtedly shaped the search strategy</w:t>
      </w:r>
      <w:r w:rsidR="2C4B1D25" w:rsidRPr="008C17AC">
        <w:rPr>
          <w:rFonts w:ascii="Times New Roman" w:eastAsia="Times New Roman" w:hAnsi="Times New Roman" w:cs="Times New Roman"/>
        </w:rPr>
        <w:t xml:space="preserve"> and data-extraction</w:t>
      </w:r>
      <w:r w:rsidR="03C99C58" w:rsidRPr="008C17AC">
        <w:rPr>
          <w:rFonts w:ascii="Times New Roman" w:eastAsia="Times New Roman" w:hAnsi="Times New Roman" w:cs="Times New Roman"/>
        </w:rPr>
        <w:t>.</w:t>
      </w:r>
      <w:r w:rsidRPr="008C17AC">
        <w:rPr>
          <w:rFonts w:ascii="Times New Roman" w:eastAsia="Times New Roman" w:hAnsi="Times New Roman" w:cs="Times New Roman"/>
        </w:rPr>
        <w:t xml:space="preserve"> </w:t>
      </w:r>
    </w:p>
    <w:p w14:paraId="33FC78AE" w14:textId="5783244B" w:rsidR="00B85FFC" w:rsidRPr="008C17AC" w:rsidRDefault="00B85FFC" w:rsidP="00B85FFC">
      <w:pPr>
        <w:spacing w:line="360" w:lineRule="auto"/>
        <w:ind w:firstLine="720"/>
        <w:rPr>
          <w:rFonts w:ascii="Times New Roman" w:eastAsia="Times New Roman" w:hAnsi="Times New Roman" w:cs="Times New Roman"/>
        </w:rPr>
      </w:pPr>
      <w:r w:rsidRPr="008C17AC">
        <w:rPr>
          <w:rFonts w:ascii="Times New Roman" w:eastAsia="Times New Roman" w:hAnsi="Times New Roman" w:cs="Times New Roman"/>
        </w:rPr>
        <w:t xml:space="preserve">Discussions about terms and definitions accompanied us throughout the process due to the immense variety in language around reproducibility and related concepts. This was due to the multidisciplinary nature of our team and the broad scope of our review. On top of that, the reporting of some of the included studies left room for multiple interpretations. Barriers like jargon and unclear methodological specification may have limited our understanding of some findings. </w:t>
      </w:r>
      <w:r w:rsidR="009A249B" w:rsidRPr="008C17AC">
        <w:rPr>
          <w:rFonts w:ascii="Times New Roman" w:eastAsia="Times New Roman" w:hAnsi="Times New Roman" w:cs="Times New Roman"/>
        </w:rPr>
        <w:t xml:space="preserve">Furthermore, we carry our own beliefs and expected to find a scarcity of evidence for most interventions investigated. </w:t>
      </w:r>
      <w:r w:rsidR="40385EED" w:rsidRPr="008C17AC">
        <w:rPr>
          <w:rFonts w:ascii="Times New Roman" w:eastAsia="Times New Roman" w:hAnsi="Times New Roman" w:cs="Times New Roman"/>
        </w:rPr>
        <w:t xml:space="preserve">Hence, despite our best efforts to maintain balance, the </w:t>
      </w:r>
      <w:r w:rsidR="009A249B" w:rsidRPr="008C17AC">
        <w:rPr>
          <w:rFonts w:ascii="Times New Roman" w:eastAsia="Times New Roman" w:hAnsi="Times New Roman" w:cs="Times New Roman"/>
        </w:rPr>
        <w:t xml:space="preserve">combination of our </w:t>
      </w:r>
      <w:r w:rsidR="40385EED" w:rsidRPr="008C17AC">
        <w:rPr>
          <w:rFonts w:ascii="Times New Roman" w:eastAsia="Times New Roman" w:hAnsi="Times New Roman" w:cs="Times New Roman"/>
        </w:rPr>
        <w:t>specific perspectives</w:t>
      </w:r>
      <w:r w:rsidR="009A249B" w:rsidRPr="008C17AC">
        <w:rPr>
          <w:rFonts w:ascii="Times New Roman" w:eastAsia="Times New Roman" w:hAnsi="Times New Roman" w:cs="Times New Roman"/>
        </w:rPr>
        <w:t xml:space="preserve"> and the width of the included studies have</w:t>
      </w:r>
      <w:r w:rsidR="40385EED" w:rsidRPr="008C17AC">
        <w:rPr>
          <w:rFonts w:ascii="Times New Roman" w:eastAsia="Times New Roman" w:hAnsi="Times New Roman" w:cs="Times New Roman"/>
        </w:rPr>
        <w:t xml:space="preserve"> likely shaped our study findings.</w:t>
      </w:r>
    </w:p>
    <w:p w14:paraId="704517C1" w14:textId="4B00296B" w:rsidR="00B85FFC" w:rsidRPr="008C17AC" w:rsidRDefault="00B85FFC" w:rsidP="00B85FFC">
      <w:pPr>
        <w:spacing w:line="360" w:lineRule="auto"/>
        <w:ind w:firstLine="720"/>
        <w:rPr>
          <w:rFonts w:ascii="Times New Roman" w:eastAsia="Times New Roman" w:hAnsi="Times New Roman" w:cs="Times New Roman"/>
        </w:rPr>
      </w:pPr>
      <w:r w:rsidRPr="008C17AC">
        <w:rPr>
          <w:rFonts w:ascii="Times New Roman" w:eastAsia="Times New Roman" w:hAnsi="Times New Roman" w:cs="Times New Roman"/>
        </w:rPr>
        <w:lastRenderedPageBreak/>
        <w:t xml:space="preserve">Another major limitation is that the data-extraction was done by one person for each included study, especially in combination with the lack of clarity of the included studies and the multidisciplinary team. Therefore, any doubts about what we read were discussed in our weekly meetings, and the last author checked all the extracted data before the analyses were done. </w:t>
      </w:r>
    </w:p>
    <w:p w14:paraId="68D81D1B" w14:textId="7D8250CA" w:rsidR="52005655" w:rsidRPr="008C17AC" w:rsidRDefault="55FE495D" w:rsidP="23EF21E2">
      <w:pPr>
        <w:spacing w:line="257" w:lineRule="auto"/>
        <w:rPr>
          <w:rFonts w:ascii="Times New Roman" w:eastAsia="Times New Roman" w:hAnsi="Times New Roman" w:cs="Times New Roman"/>
        </w:rPr>
      </w:pPr>
      <w:r w:rsidRPr="008C17AC">
        <w:rPr>
          <w:rFonts w:ascii="Times New Roman" w:eastAsia="Times New Roman" w:hAnsi="Times New Roman" w:cs="Times New Roman"/>
          <w:b/>
          <w:bCs/>
          <w:i/>
          <w:iCs/>
        </w:rPr>
        <w:t xml:space="preserve">Future directions and implications for policy and practice </w:t>
      </w:r>
    </w:p>
    <w:p w14:paraId="233C1A5A" w14:textId="43554A84" w:rsidR="52005655" w:rsidRPr="008C17AC" w:rsidRDefault="00B85FFC" w:rsidP="67DA87C3">
      <w:pPr>
        <w:spacing w:line="360" w:lineRule="auto"/>
        <w:ind w:firstLine="720"/>
        <w:rPr>
          <w:rFonts w:ascii="Times New Roman" w:eastAsia="Times New Roman" w:hAnsi="Times New Roman" w:cs="Times New Roman"/>
        </w:rPr>
      </w:pPr>
      <w:r w:rsidRPr="008C17AC">
        <w:rPr>
          <w:rFonts w:ascii="Times New Roman" w:eastAsia="Times New Roman" w:hAnsi="Times New Roman" w:cs="Times New Roman"/>
        </w:rPr>
        <w:t>Greater understanding of the meanings of reproducibility and replicability across contexts may facilitate the understanding of what works in improving levels of reproducibility/replicability and in which circumstances.</w:t>
      </w:r>
      <w:r w:rsidR="009A249B" w:rsidRPr="008C17AC">
        <w:rPr>
          <w:rFonts w:ascii="Times New Roman" w:eastAsia="Times New Roman" w:hAnsi="Times New Roman" w:cs="Times New Roman"/>
        </w:rPr>
        <w:t xml:space="preserve"> Therefore, </w:t>
      </w:r>
      <w:r w:rsidR="59874788" w:rsidRPr="008C17AC">
        <w:rPr>
          <w:rFonts w:ascii="Times New Roman" w:eastAsia="Times New Roman" w:hAnsi="Times New Roman" w:cs="Times New Roman"/>
        </w:rPr>
        <w:t xml:space="preserve">the next step should be to build on this work to investigate and compare in more detail the studies we have identified to synthesise the knowledge contained therein at a more granular level. Questions include: </w:t>
      </w:r>
      <w:r w:rsidR="180D66A7" w:rsidRPr="008C17AC">
        <w:rPr>
          <w:rFonts w:ascii="Times New Roman" w:eastAsia="Times New Roman" w:hAnsi="Times New Roman" w:cs="Times New Roman"/>
        </w:rPr>
        <w:t>Which specific interventions show most promise as being effective and therefore merit further investigation? Is there a difference in effect when policies are mandatory versus optional? What characterises the interventions that are reported to potentially be effective?</w:t>
      </w:r>
      <w:r w:rsidR="305AEC3F" w:rsidRPr="008C17AC">
        <w:rPr>
          <w:rFonts w:ascii="Times New Roman" w:eastAsia="Times New Roman" w:hAnsi="Times New Roman" w:cs="Times New Roman"/>
        </w:rPr>
        <w:t xml:space="preserve"> How does the efficacy of different interventions </w:t>
      </w:r>
      <w:r w:rsidR="3E0BCE13" w:rsidRPr="008C17AC">
        <w:rPr>
          <w:rFonts w:ascii="Times New Roman" w:eastAsia="Times New Roman" w:hAnsi="Times New Roman" w:cs="Times New Roman"/>
        </w:rPr>
        <w:t>vary across</w:t>
      </w:r>
      <w:r w:rsidR="180D66A7" w:rsidRPr="008C17AC">
        <w:rPr>
          <w:rFonts w:ascii="Times New Roman" w:eastAsia="Times New Roman" w:hAnsi="Times New Roman" w:cs="Times New Roman"/>
        </w:rPr>
        <w:t xml:space="preserve"> different stakeholders </w:t>
      </w:r>
      <w:r w:rsidR="48FE9286" w:rsidRPr="008C17AC">
        <w:rPr>
          <w:rFonts w:ascii="Times New Roman" w:eastAsia="Times New Roman" w:hAnsi="Times New Roman" w:cs="Times New Roman"/>
        </w:rPr>
        <w:t xml:space="preserve">or </w:t>
      </w:r>
      <w:r w:rsidR="180D66A7" w:rsidRPr="008C17AC">
        <w:rPr>
          <w:rFonts w:ascii="Times New Roman" w:eastAsia="Times New Roman" w:hAnsi="Times New Roman" w:cs="Times New Roman"/>
        </w:rPr>
        <w:t>implement</w:t>
      </w:r>
      <w:r w:rsidR="41D840A7" w:rsidRPr="008C17AC">
        <w:rPr>
          <w:rFonts w:ascii="Times New Roman" w:eastAsia="Times New Roman" w:hAnsi="Times New Roman" w:cs="Times New Roman"/>
        </w:rPr>
        <w:t xml:space="preserve">ing </w:t>
      </w:r>
      <w:r w:rsidR="6EC7352B" w:rsidRPr="008C17AC">
        <w:rPr>
          <w:rFonts w:ascii="Times New Roman" w:eastAsia="Times New Roman" w:hAnsi="Times New Roman" w:cs="Times New Roman"/>
        </w:rPr>
        <w:t>institutions</w:t>
      </w:r>
      <w:r w:rsidR="41D840A7" w:rsidRPr="008C17AC">
        <w:rPr>
          <w:rFonts w:ascii="Times New Roman" w:eastAsia="Times New Roman" w:hAnsi="Times New Roman" w:cs="Times New Roman"/>
        </w:rPr>
        <w:t xml:space="preserve">? </w:t>
      </w:r>
      <w:r w:rsidR="009A249B" w:rsidRPr="008C17AC">
        <w:rPr>
          <w:rFonts w:ascii="Times New Roman" w:eastAsia="Times New Roman" w:hAnsi="Times New Roman" w:cs="Times New Roman"/>
        </w:rPr>
        <w:t>As these questions require an in-depth qualitative analysis</w:t>
      </w:r>
      <w:r w:rsidR="62C32D59" w:rsidRPr="008C17AC">
        <w:rPr>
          <w:rFonts w:ascii="Times New Roman" w:eastAsia="Times New Roman" w:hAnsi="Times New Roman" w:cs="Times New Roman"/>
        </w:rPr>
        <w:t xml:space="preserve"> that would go beyond the aim of this scoping review</w:t>
      </w:r>
      <w:r w:rsidR="59874788" w:rsidRPr="008C17AC">
        <w:rPr>
          <w:rFonts w:ascii="Times New Roman" w:eastAsia="Times New Roman" w:hAnsi="Times New Roman" w:cs="Times New Roman"/>
        </w:rPr>
        <w:t xml:space="preserve">, </w:t>
      </w:r>
      <w:r w:rsidR="683A910D" w:rsidRPr="008C17AC">
        <w:rPr>
          <w:rFonts w:ascii="Times New Roman" w:eastAsia="Times New Roman" w:hAnsi="Times New Roman" w:cs="Times New Roman"/>
        </w:rPr>
        <w:t xml:space="preserve">we will address some of these questions in a </w:t>
      </w:r>
      <w:r w:rsidR="43C5C6F5" w:rsidRPr="008C17AC">
        <w:rPr>
          <w:rFonts w:ascii="Times New Roman" w:eastAsia="Times New Roman" w:hAnsi="Times New Roman" w:cs="Times New Roman"/>
        </w:rPr>
        <w:t>follow-up</w:t>
      </w:r>
      <w:r w:rsidR="683A910D" w:rsidRPr="008C17AC">
        <w:rPr>
          <w:rFonts w:ascii="Times New Roman" w:eastAsia="Times New Roman" w:hAnsi="Times New Roman" w:cs="Times New Roman"/>
        </w:rPr>
        <w:t xml:space="preserve"> study</w:t>
      </w:r>
      <w:r w:rsidR="59874788" w:rsidRPr="008C17AC">
        <w:rPr>
          <w:rFonts w:ascii="Times New Roman" w:eastAsia="Times New Roman" w:hAnsi="Times New Roman" w:cs="Times New Roman"/>
        </w:rPr>
        <w:t>.</w:t>
      </w:r>
    </w:p>
    <w:p w14:paraId="1782788E" w14:textId="26B2EB2F" w:rsidR="52005655" w:rsidRPr="008C17AC" w:rsidRDefault="009A249B" w:rsidP="009A249B">
      <w:pPr>
        <w:spacing w:after="120" w:line="360" w:lineRule="auto"/>
        <w:ind w:firstLine="720"/>
        <w:rPr>
          <w:rFonts w:ascii="Times New Roman" w:eastAsia="Times New Roman" w:hAnsi="Times New Roman" w:cs="Times New Roman"/>
        </w:rPr>
      </w:pPr>
      <w:r w:rsidRPr="008C17AC">
        <w:rPr>
          <w:rFonts w:ascii="Times New Roman" w:eastAsia="Times New Roman" w:hAnsi="Times New Roman" w:cs="Times New Roman"/>
        </w:rPr>
        <w:t>O</w:t>
      </w:r>
      <w:r w:rsidR="3522E972" w:rsidRPr="008C17AC">
        <w:rPr>
          <w:rFonts w:ascii="Times New Roman" w:eastAsia="Times New Roman" w:hAnsi="Times New Roman" w:cs="Times New Roman"/>
        </w:rPr>
        <w:t>ur findings, perhaps above all else, demonstrate a substantial need within the meta</w:t>
      </w:r>
      <w:r w:rsidR="0F86EDA6" w:rsidRPr="008C17AC">
        <w:rPr>
          <w:rFonts w:ascii="Times New Roman" w:eastAsia="Times New Roman" w:hAnsi="Times New Roman" w:cs="Times New Roman"/>
        </w:rPr>
        <w:t>-</w:t>
      </w:r>
      <w:r w:rsidR="3522E972" w:rsidRPr="008C17AC">
        <w:rPr>
          <w:rFonts w:ascii="Times New Roman" w:eastAsia="Times New Roman" w:hAnsi="Times New Roman" w:cs="Times New Roman"/>
        </w:rPr>
        <w:t xml:space="preserve">research community for more thorough </w:t>
      </w:r>
      <w:r w:rsidR="3DAA1083" w:rsidRPr="008C17AC">
        <w:rPr>
          <w:rFonts w:ascii="Times New Roman" w:eastAsia="Times New Roman" w:hAnsi="Times New Roman" w:cs="Times New Roman"/>
        </w:rPr>
        <w:t xml:space="preserve">and rigorous </w:t>
      </w:r>
      <w:r w:rsidR="3522E972" w:rsidRPr="008C17AC">
        <w:rPr>
          <w:rFonts w:ascii="Times New Roman" w:eastAsia="Times New Roman" w:hAnsi="Times New Roman" w:cs="Times New Roman"/>
        </w:rPr>
        <w:t xml:space="preserve">investigations into the effectiveness of interventions aiming to increase levels of reproducibility and replicability. It is striking that researchers, policymakers, journals and others are often content to implement large-scale changes without rigorous exploration of their efficacy. More specifically, we call for increased use of standardised and robust experimental designs. Implementing such studies will often involve nuanced approaches involving various stakeholders—including institutions, journals, funders, and researchers—who traditionally may not be accustomed to scrutinizing their processes through rigorous experimentation. </w:t>
      </w:r>
      <w:r w:rsidR="4818C237" w:rsidRPr="008C17AC">
        <w:rPr>
          <w:rFonts w:ascii="Times New Roman" w:eastAsia="Times New Roman" w:hAnsi="Times New Roman" w:cs="Times New Roman"/>
        </w:rPr>
        <w:t>T</w:t>
      </w:r>
      <w:r w:rsidR="79BE99BE" w:rsidRPr="008C17AC">
        <w:rPr>
          <w:rFonts w:ascii="Times New Roman" w:eastAsia="Times New Roman" w:hAnsi="Times New Roman" w:cs="Times New Roman"/>
        </w:rPr>
        <w:t>hese</w:t>
      </w:r>
      <w:r w:rsidR="3522E972" w:rsidRPr="008C17AC">
        <w:rPr>
          <w:rFonts w:ascii="Times New Roman" w:eastAsia="Times New Roman" w:hAnsi="Times New Roman" w:cs="Times New Roman"/>
        </w:rPr>
        <w:t xml:space="preserve"> groups must become more receptive to </w:t>
      </w:r>
      <w:r w:rsidR="313079A3" w:rsidRPr="008C17AC">
        <w:rPr>
          <w:rFonts w:ascii="Times New Roman" w:eastAsia="Times New Roman" w:hAnsi="Times New Roman" w:cs="Times New Roman"/>
        </w:rPr>
        <w:t>subjecting their processes to investigation</w:t>
      </w:r>
      <w:r w:rsidR="3522E972" w:rsidRPr="008C17AC">
        <w:rPr>
          <w:rFonts w:ascii="Times New Roman" w:eastAsia="Times New Roman" w:hAnsi="Times New Roman" w:cs="Times New Roman"/>
        </w:rPr>
        <w:t xml:space="preserve">, as well as share data for experimental or observational research </w:t>
      </w:r>
      <w:r w:rsidR="34E1A68E" w:rsidRPr="008C17AC">
        <w:rPr>
          <w:rFonts w:ascii="Times New Roman" w:eastAsia="Times New Roman" w:hAnsi="Times New Roman" w:cs="Times New Roman"/>
        </w:rPr>
        <w:fldChar w:fldCharType="begin"/>
      </w:r>
      <w:r w:rsidR="34E1A68E" w:rsidRPr="008C17AC">
        <w:rPr>
          <w:rFonts w:ascii="Times New Roman" w:eastAsia="Times New Roman" w:hAnsi="Times New Roman" w:cs="Times New Roman"/>
        </w:rPr>
        <w:instrText xml:space="preserve"> ADDIN ZOTERO_ITEM CSL_CITATION {"citationID":"vnYLic1D","properties":{"formattedCitation":"[137,138]","plainCitation":"[137,138]","noteIndex":0},"citationItems":[{"id":31326,"uris":["http://zotero.org/groups/4983756/items/R2IHUV3K"],"itemData":{"id":31326,"type":"article-journal","abstract":"Journals, funders and scholars must work together to create an infrastructure to study peer review.","container-title":"Nature","DOI":"10.1038/d41586-020-00500-y","issue":"7796","language":"en","license":"2021 Nature","note":"Bandiera_abtest: a\nCg_type: Comment\npublisher: Nature Publishing Group\nSubject_term: Peer review, Publishing, Research management","page":"512-514","source":"www.nature.com","title":"Unlock ways to share data on peer review","volume":"578","author":[{"family":"Squazzoni","given":"Flaminio"},{"family":"Ahrweiler","given":"Petra"},{"family":"Barros","given":"Tiago"},{"family":"Bianchi","given":"Federico"},{"family":"Birukou","given":"Aliaksandr"},{"family":"Blom","given":"Harry J. J."},{"family":"Bravo","given":"Giangiacomo"},{"family":"Cowley","given":"Stephen"},{"family":"Dignum","given":"Virginia"},{"family":"Dondio","given":"Pierpaolo"},{"family":"Grimaldo","given":"Francisco"},{"family":"Haire","given":"Lynsey"},{"family":"Hoyt","given":"Jason"},{"family":"Hurst","given":"Phil"},{"family":"Lammey","given":"Rachael"},{"family":"MacCallum","given":"Catriona"},{"family":"Marušić","given":"Ana"},{"family":"Mehmani","given":"Bahar"},{"family":"Murray","given":"Hollydawn"},{"family":"Nicholas","given":"Duncan"},{"family":"Pedrazzi","given":"Giorgio"},{"family":"Puebla","given":"Iratxe"},{"family":"Rodgers","given":"Peter"},{"family":"Ross-Hellauer","given":"Tony"},{"family":"Seeber","given":"Marco"},{"family":"Shankar","given":"Kalpana"},{"family":"Van Rossum","given":"Joris"},{"family":"Willis","given":"Michael"}],"issued":{"date-parts":[["2020",2]]}}},{"id":31327,"uris":["http://zotero.org/groups/4983756/items/KNMRJGUE"],"itemData":{"id":31327,"type":"article-journal","abstract":"Transparency is increasingly becoming the new norm and modus operandi of the global research enterprise. In this mini-review, we summarize ongoing initiatives to increase transparency in science and funding in particular. Based on this, we make a plea for the next step in funders' compliance with the principles of Open Science, suggesting the adoption of open applications. Our proposed model includes a plea for the publication of all submitted grant applications; open sharing of review reports, argumentations for funding decisions and project evaluation reports; and the disclosure of reviewers' and decision committee members' identities. In line with previous calls for transparency and the available evidence about these measures' effectiveness, we argue that open applications could lead to more diverse collaboration, recognition of research ideas, fairer procedures for grant allocation, more research on funding practices and increased trust in the funding allocation process.","container-title":"Royal Society Open Science","DOI":"10.1098/rsos.220750","issue":"10","note":"publisher: Royal Society","page":"220750","source":"royalsocietypublishing.org (Atypon)","title":"Research funders should be more transparent: a plea for open applications","title-short":"Research funders should be more transparent","volume":"9","author":[{"family":"Horbach","given":"Serge P. J. M."},{"family":"Tijdink","given":"Joeri K."},{"family":"Bouter","given":"Lex"}],"issued":{"date-parts":[["2022",10,12]]}}}],"schema":"https://github.com/citation-style-language/schema/raw/master/csl-citation.json"} </w:instrText>
      </w:r>
      <w:r w:rsidR="34E1A68E" w:rsidRPr="008C17AC">
        <w:rPr>
          <w:rFonts w:ascii="Times New Roman" w:eastAsia="Times New Roman" w:hAnsi="Times New Roman" w:cs="Times New Roman"/>
        </w:rPr>
        <w:fldChar w:fldCharType="separate"/>
      </w:r>
      <w:r w:rsidR="7A3DCF76" w:rsidRPr="008C17AC">
        <w:rPr>
          <w:rFonts w:ascii="Times New Roman" w:hAnsi="Times New Roman" w:cs="Times New Roman"/>
        </w:rPr>
        <w:t>[137,138]</w:t>
      </w:r>
      <w:r w:rsidR="34E1A68E" w:rsidRPr="008C17AC">
        <w:rPr>
          <w:rFonts w:ascii="Times New Roman" w:eastAsia="Times New Roman" w:hAnsi="Times New Roman" w:cs="Times New Roman"/>
        </w:rPr>
        <w:fldChar w:fldCharType="end"/>
      </w:r>
      <w:r w:rsidR="3522E972" w:rsidRPr="008C17AC">
        <w:rPr>
          <w:rFonts w:ascii="Times New Roman" w:eastAsia="Times New Roman" w:hAnsi="Times New Roman" w:cs="Times New Roman"/>
        </w:rPr>
        <w:t xml:space="preserve">. </w:t>
      </w:r>
      <w:r w:rsidRPr="008C17AC">
        <w:rPr>
          <w:rFonts w:ascii="Times New Roman" w:eastAsia="Times New Roman" w:hAnsi="Times New Roman" w:cs="Times New Roman"/>
        </w:rPr>
        <w:t xml:space="preserve">Given the previously mentioned observation about possibly overoptimistic reporting or possible selective reporting, we </w:t>
      </w:r>
      <w:r w:rsidR="00227005" w:rsidRPr="008C17AC">
        <w:rPr>
          <w:rFonts w:ascii="Times New Roman" w:eastAsia="Times New Roman" w:hAnsi="Times New Roman" w:cs="Times New Roman"/>
        </w:rPr>
        <w:t>highlight</w:t>
      </w:r>
      <w:r w:rsidR="6D815C5F" w:rsidRPr="008C17AC">
        <w:rPr>
          <w:rFonts w:ascii="Times New Roman" w:eastAsia="Times New Roman" w:hAnsi="Times New Roman" w:cs="Times New Roman"/>
        </w:rPr>
        <w:t xml:space="preserve"> the need for more “red-teaming” </w:t>
      </w:r>
      <w:r w:rsidR="12C164FD" w:rsidRPr="008C17AC">
        <w:rPr>
          <w:rFonts w:ascii="Times New Roman" w:eastAsia="Times New Roman" w:hAnsi="Times New Roman" w:cs="Times New Roman"/>
        </w:rPr>
        <w:fldChar w:fldCharType="begin"/>
      </w:r>
      <w:r w:rsidR="12C164FD" w:rsidRPr="008C17AC">
        <w:rPr>
          <w:rFonts w:ascii="Times New Roman" w:eastAsia="Times New Roman" w:hAnsi="Times New Roman" w:cs="Times New Roman"/>
        </w:rPr>
        <w:instrText xml:space="preserve"> ADDIN ZOTERO_ITEM CSL_CITATION {"citationID":"WWJF05xH","properties":{"formattedCitation":"[142]","plainCitation":"[142]","noteIndex":0},"citationItems":[{"id":31332,"uris":["http://zotero.org/groups/4983756/items/BHSJ48ZH"],"itemData":{"id":31332,"type":"post-weblog","abstract":"A few months ago, I put a $3,000 bounty on my own research. \n\n\n\nIn a Red Team Challenge, my collaborators and I gave five bounty hunters financial incentives to spend three weeks searching for errors in a submission-ready manuscript. After scouring the materials, data, code, and manuscript, the Red","container-title":"The 100% CI","language":"en-US","note":"section: Crosspost","title":"The Red Team Challenge (Part 1): Why I placed a bounty on my own research","title-short":"The Red Team Challenge (Part 1)","URL":"https://www.the100.ci/2020/06/29/red-team-part-1/","author":[{"family":"Coles","given":"Nicholas"}],"accessed":{"date-parts":[["2024",5,21]]},"issued":{"date-parts":[["2020",6,29]]}}}],"schema":"https://github.com/citation-style-language/schema/raw/master/csl-citation.json"} </w:instrText>
      </w:r>
      <w:r w:rsidR="12C164FD" w:rsidRPr="008C17AC">
        <w:rPr>
          <w:rFonts w:ascii="Times New Roman" w:eastAsia="Times New Roman" w:hAnsi="Times New Roman" w:cs="Times New Roman"/>
        </w:rPr>
        <w:fldChar w:fldCharType="separate"/>
      </w:r>
      <w:r w:rsidR="7A3DCF76" w:rsidRPr="008C17AC">
        <w:rPr>
          <w:rFonts w:ascii="Times New Roman" w:hAnsi="Times New Roman" w:cs="Times New Roman"/>
        </w:rPr>
        <w:t>[142]</w:t>
      </w:r>
      <w:r w:rsidR="12C164FD" w:rsidRPr="008C17AC">
        <w:rPr>
          <w:rFonts w:ascii="Times New Roman" w:eastAsia="Times New Roman" w:hAnsi="Times New Roman" w:cs="Times New Roman"/>
        </w:rPr>
        <w:fldChar w:fldCharType="end"/>
      </w:r>
      <w:r w:rsidR="6D815C5F" w:rsidRPr="008C17AC">
        <w:rPr>
          <w:rFonts w:ascii="Times New Roman" w:eastAsia="Times New Roman" w:hAnsi="Times New Roman" w:cs="Times New Roman"/>
        </w:rPr>
        <w:t xml:space="preserve"> of interventions – with researchers less invested in positive outcomes participating. </w:t>
      </w:r>
    </w:p>
    <w:p w14:paraId="3BDC6264" w14:textId="52D13E26" w:rsidR="52005655" w:rsidRPr="008C17AC" w:rsidRDefault="573F4244" w:rsidP="23EF21E2">
      <w:pPr>
        <w:spacing w:after="120" w:line="360" w:lineRule="auto"/>
        <w:ind w:firstLine="720"/>
        <w:rPr>
          <w:rFonts w:ascii="Times New Roman" w:eastAsia="Times New Roman" w:hAnsi="Times New Roman" w:cs="Times New Roman"/>
        </w:rPr>
      </w:pPr>
      <w:r w:rsidRPr="008C17AC">
        <w:rPr>
          <w:rFonts w:ascii="Times New Roman" w:eastAsia="Times New Roman" w:hAnsi="Times New Roman" w:cs="Times New Roman"/>
        </w:rPr>
        <w:t>Given the crucial need to better understand how “epistemic diversity” influences the meaning, relevance and feasibility of reproducibility</w:t>
      </w:r>
      <w:r w:rsidR="00AC793B" w:rsidRPr="008C17AC">
        <w:rPr>
          <w:rFonts w:ascii="Times New Roman" w:eastAsia="Times New Roman" w:hAnsi="Times New Roman" w:cs="Times New Roman"/>
        </w:rPr>
        <w:t xml:space="preserve"> research</w:t>
      </w:r>
      <w:r w:rsidRPr="008C17AC">
        <w:rPr>
          <w:rFonts w:ascii="Times New Roman" w:eastAsia="Times New Roman" w:hAnsi="Times New Roman" w:cs="Times New Roman"/>
        </w:rPr>
        <w:t xml:space="preserve"> </w:t>
      </w:r>
      <w:r w:rsidR="32256524" w:rsidRPr="008C17AC">
        <w:rPr>
          <w:rFonts w:ascii="Times New Roman" w:eastAsia="Times New Roman" w:hAnsi="Times New Roman" w:cs="Times New Roman"/>
          <w:sz w:val="24"/>
          <w:szCs w:val="24"/>
        </w:rPr>
        <w:fldChar w:fldCharType="begin"/>
      </w:r>
      <w:r w:rsidR="32256524" w:rsidRPr="008C17AC">
        <w:rPr>
          <w:rFonts w:ascii="Times New Roman" w:eastAsia="Times New Roman" w:hAnsi="Times New Roman" w:cs="Times New Roman"/>
          <w:sz w:val="24"/>
          <w:szCs w:val="24"/>
        </w:rPr>
        <w:instrText xml:space="preserve"> ADDIN ZOTERO_ITEM CSL_CITATION {"citationID":"hLZa31ZF","properties":{"formattedCitation":"[25,27]","plainCitation":"[25,27]","noteIndex":0},"citationItems":[{"id":31217,"uris":["http://zotero.org/groups/4983756/items/DIKACHKE"],"itemData":{"id":31217,"type":"chapter","abstract":"A heated debate surrounds the significance of reproducibility as an indicator for research quality and reliability, with many commentators linking a “crisis of reproducibility” to the rise of fraudulent, careless, and unreliable practices of knowledge production. Through the analysis of discourse and practices across research fields, I point out that reproducibility is not only interpreted in different ways, but also serves a variety of epistemic functions depending on the research at hand. Given such variation, I argue that the uncritical pursuit of reproducibility as an overarching epistemic value is misleading and potentially damaging to scientific advancement. Requirements for reproducibility, however they are interpreted, are one of many available means to secure reliable research outcomes. Furthermore, there are cases where the focus on enhancing reproducibility turns out not to foster high-quality research. Scientific communities and Open Science advocates should learn from inferential reasoning from irreproducible data, and promote incentives for all researchers to explicitly and publicly discuss (1) their methodological commitments, (2) the ways in which they learn from mistakes and problems in everyday practice, and (3) the strategies they use to choose which research components of any project need to be preserved in the long term, and how.","collection-title":"Research in the History of Economic Thought and Methodology","container-title":"Including a Symposium on Mary Morgan: Curiosity, Imagination, and Surprise","ISBN":"978-1-78756-423-7","note":"DOI: 10.1108/S0743-41542018000036B009","page":"129-146","publisher":"Emerald Publishing Limited","source":"Emerald Insight","title":"Rethinking Reproducibility as a Criterion for Research Quality","URL":"https://doi.org/10.1108/S0743-41542018000036B009","volume":"36B","author":[{"family":"Leonelli","given":"Sabina"}],"accessed":{"date-parts":[["2024",5,7]]},"issued":{"date-parts":[["2018",1,1]]}}},{"id":31221,"uris":["http://zotero.org/groups/4983756/items/KG3GZILN"],"itemData":{"id":31221,"type":"article","abstract":"We attempt to provide a framework that allows to assess the relevance and feasibility of different types of reproducibility in the realm of epistemic diversity. We distinguish between the relevance based on epistemic considerations and the feasibility based on practical aspects of the specific research situation.","DOI":"10.31222/osf.io/ujnd9","language":"en-us","publisher":"OSF","source":"OSF Preprints","title":"Knowledge Production Modes: The Relevance and Feasibility of ‘Reproducibility’","title-short":"Knowledge Production Modes","URL":"https://osf.io/ujnd9","author":[{"family":"Ulpts","given":"Sven"},{"family":"Schneider","given":"Jesper W."}],"accessed":{"date-parts":[["2024",5,7]]},"issued":{"date-parts":[["2023",9,25]]}}}],"schema":"https://github.com/citation-style-language/schema/raw/master/csl-citation.json"} </w:instrText>
      </w:r>
      <w:r w:rsidR="32256524" w:rsidRPr="008C17AC">
        <w:rPr>
          <w:rFonts w:ascii="Times New Roman" w:eastAsia="Times New Roman" w:hAnsi="Times New Roman" w:cs="Times New Roman"/>
          <w:sz w:val="24"/>
          <w:szCs w:val="24"/>
        </w:rPr>
        <w:fldChar w:fldCharType="separate"/>
      </w:r>
      <w:r w:rsidR="5431C6FC" w:rsidRPr="008C17AC">
        <w:rPr>
          <w:rFonts w:ascii="Times New Roman" w:hAnsi="Times New Roman" w:cs="Times New Roman"/>
        </w:rPr>
        <w:t>[25,27]</w:t>
      </w:r>
      <w:r w:rsidR="32256524" w:rsidRPr="008C17AC">
        <w:rPr>
          <w:rFonts w:ascii="Times New Roman" w:eastAsia="Times New Roman" w:hAnsi="Times New Roman" w:cs="Times New Roman"/>
          <w:sz w:val="24"/>
          <w:szCs w:val="24"/>
        </w:rPr>
        <w:fldChar w:fldCharType="end"/>
      </w:r>
      <w:r w:rsidRPr="008C17AC">
        <w:rPr>
          <w:rFonts w:ascii="Times New Roman" w:eastAsia="Times New Roman" w:hAnsi="Times New Roman" w:cs="Times New Roman"/>
        </w:rPr>
        <w:t>, a corollary of our findings is that further exploring the effectiveness of reproducibility interventions across diverse research contexts is essential. This could be facilitated by global or multi-stakeholder collaborations aimed at developing a common framework for assessing reproducibility and replicability, thereby enhancing the generalisability of findings</w:t>
      </w:r>
      <w:r w:rsidR="793CE3F9" w:rsidRPr="008C17AC">
        <w:rPr>
          <w:rFonts w:ascii="Times New Roman" w:eastAsia="Times New Roman" w:hAnsi="Times New Roman" w:cs="Times New Roman"/>
        </w:rPr>
        <w:t xml:space="preserve"> where possible</w:t>
      </w:r>
      <w:r w:rsidR="073C2BEF" w:rsidRPr="008C17AC">
        <w:rPr>
          <w:rFonts w:ascii="Times New Roman" w:eastAsia="Times New Roman" w:hAnsi="Times New Roman" w:cs="Times New Roman"/>
        </w:rPr>
        <w:t>.</w:t>
      </w:r>
      <w:r w:rsidRPr="008C17AC">
        <w:rPr>
          <w:rFonts w:ascii="Times New Roman" w:eastAsia="Times New Roman" w:hAnsi="Times New Roman" w:cs="Times New Roman"/>
        </w:rPr>
        <w:t xml:space="preserve"> Furthermore, expanding the range of disciplines involved in reproducibility research could provide broader insights and innovations, especially regarding which </w:t>
      </w:r>
      <w:r w:rsidRPr="008C17AC">
        <w:rPr>
          <w:rFonts w:ascii="Times New Roman" w:eastAsia="Times New Roman" w:hAnsi="Times New Roman" w:cs="Times New Roman"/>
        </w:rPr>
        <w:lastRenderedPageBreak/>
        <w:t>interventions can be implemented at a cross-disciplinary level (leveraging economies of scale) and which require detailed discipline-specific applications.</w:t>
      </w:r>
      <w:r w:rsidR="2F07325C" w:rsidRPr="008C17AC">
        <w:rPr>
          <w:rFonts w:ascii="Times New Roman" w:eastAsia="Times New Roman" w:hAnsi="Times New Roman" w:cs="Times New Roman"/>
        </w:rPr>
        <w:t xml:space="preserve"> </w:t>
      </w:r>
    </w:p>
    <w:p w14:paraId="34D9C38B" w14:textId="1E6A0D37" w:rsidR="52005655" w:rsidRPr="008C17AC" w:rsidRDefault="590E2589" w:rsidP="23EF21E2">
      <w:pPr>
        <w:spacing w:after="120" w:line="360" w:lineRule="auto"/>
        <w:ind w:firstLine="720"/>
        <w:rPr>
          <w:rFonts w:ascii="Times New Roman" w:eastAsia="Times New Roman" w:hAnsi="Times New Roman" w:cs="Times New Roman"/>
        </w:rPr>
      </w:pPr>
      <w:r w:rsidRPr="008C17AC">
        <w:rPr>
          <w:rFonts w:ascii="Times New Roman" w:eastAsia="Times New Roman" w:hAnsi="Times New Roman" w:cs="Times New Roman"/>
        </w:rPr>
        <w:t xml:space="preserve">All this requires funding and resources, of course. </w:t>
      </w:r>
      <w:r w:rsidR="0BAF0D14" w:rsidRPr="008C17AC">
        <w:rPr>
          <w:rFonts w:ascii="Times New Roman" w:eastAsia="Times New Roman" w:hAnsi="Times New Roman" w:cs="Times New Roman"/>
        </w:rPr>
        <w:t>P</w:t>
      </w:r>
      <w:r w:rsidR="611F75E2" w:rsidRPr="008C17AC">
        <w:rPr>
          <w:rFonts w:ascii="Times New Roman" w:eastAsia="Times New Roman" w:hAnsi="Times New Roman" w:cs="Times New Roman"/>
        </w:rPr>
        <w:t>olicy</w:t>
      </w:r>
      <w:r w:rsidRPr="008C17AC">
        <w:rPr>
          <w:rFonts w:ascii="Times New Roman" w:eastAsia="Times New Roman" w:hAnsi="Times New Roman" w:cs="Times New Roman"/>
        </w:rPr>
        <w:t>-makers, funders and institutions, but also publishers and scholarly societies, should consider supporting these lines of inquiry through dedicated funding streams</w:t>
      </w:r>
      <w:r w:rsidR="25EC1602" w:rsidRPr="008C17AC">
        <w:rPr>
          <w:rFonts w:ascii="Times New Roman" w:eastAsia="Times New Roman" w:hAnsi="Times New Roman" w:cs="Times New Roman"/>
        </w:rPr>
        <w:t xml:space="preserve"> and in-kind access to data and systems for experimentation</w:t>
      </w:r>
      <w:r w:rsidRPr="008C17AC">
        <w:rPr>
          <w:rFonts w:ascii="Times New Roman" w:eastAsia="Times New Roman" w:hAnsi="Times New Roman" w:cs="Times New Roman"/>
        </w:rPr>
        <w:t xml:space="preserve">. Such support would foster more interdisciplinary approaches and help break down the silos that often separate research communities. Towards the latter, further recognising and supporting 'research on research' as a distinct field with its own conferences, journals and funding lines will also help. Doing so may enable immediate returns on investments through </w:t>
      </w:r>
      <w:r w:rsidR="136AB64C" w:rsidRPr="008C17AC">
        <w:rPr>
          <w:rFonts w:ascii="Times New Roman" w:eastAsia="Times New Roman" w:hAnsi="Times New Roman" w:cs="Times New Roman"/>
        </w:rPr>
        <w:t xml:space="preserve">reducing </w:t>
      </w:r>
      <w:r w:rsidR="395B5232" w:rsidRPr="008C17AC">
        <w:rPr>
          <w:rFonts w:ascii="Times New Roman" w:eastAsia="Times New Roman" w:hAnsi="Times New Roman" w:cs="Times New Roman"/>
        </w:rPr>
        <w:t>wasted resources</w:t>
      </w:r>
      <w:r w:rsidRPr="008C17AC">
        <w:rPr>
          <w:rFonts w:ascii="Times New Roman" w:eastAsia="Times New Roman" w:hAnsi="Times New Roman" w:cs="Times New Roman"/>
        </w:rPr>
        <w:t xml:space="preserve"> dedicated to ineffective interventions.</w:t>
      </w:r>
    </w:p>
    <w:p w14:paraId="6F3D3B6A" w14:textId="0D53F418" w:rsidR="30A4E104" w:rsidRPr="008C17AC" w:rsidRDefault="30A4E104" w:rsidP="23EF21E2">
      <w:pPr>
        <w:spacing w:after="120" w:line="360" w:lineRule="auto"/>
        <w:ind w:right="-20" w:firstLine="567"/>
        <w:rPr>
          <w:rFonts w:ascii="Times New Roman" w:eastAsia="Times New Roman" w:hAnsi="Times New Roman" w:cs="Times New Roman"/>
          <w:b/>
          <w:bCs/>
        </w:rPr>
      </w:pPr>
    </w:p>
    <w:p w14:paraId="255D2597" w14:textId="2B3A227D" w:rsidR="009D0FED" w:rsidRPr="008C17AC" w:rsidRDefault="18061DCF" w:rsidP="23EF21E2">
      <w:pPr>
        <w:spacing w:after="120" w:line="360" w:lineRule="auto"/>
        <w:ind w:right="-20"/>
        <w:rPr>
          <w:rFonts w:ascii="Times New Roman" w:eastAsia="Times New Roman" w:hAnsi="Times New Roman" w:cs="Times New Roman"/>
          <w:b/>
          <w:bCs/>
        </w:rPr>
      </w:pPr>
      <w:r w:rsidRPr="008C17AC">
        <w:rPr>
          <w:rFonts w:ascii="Times New Roman" w:eastAsia="Times New Roman" w:hAnsi="Times New Roman" w:cs="Times New Roman"/>
          <w:b/>
          <w:bCs/>
        </w:rPr>
        <w:t>Ethics and consent</w:t>
      </w:r>
    </w:p>
    <w:p w14:paraId="694A9224" w14:textId="348696DC" w:rsidR="009D0FED" w:rsidRPr="008C17AC" w:rsidRDefault="18061DCF" w:rsidP="23EF21E2">
      <w:pPr>
        <w:spacing w:after="120" w:line="360" w:lineRule="auto"/>
        <w:ind w:right="-20"/>
        <w:rPr>
          <w:rFonts w:ascii="Times New Roman" w:eastAsia="Times New Roman" w:hAnsi="Times New Roman" w:cs="Times New Roman"/>
        </w:rPr>
      </w:pPr>
      <w:r w:rsidRPr="008C17AC">
        <w:rPr>
          <w:rFonts w:ascii="Times New Roman" w:eastAsia="Times New Roman" w:hAnsi="Times New Roman" w:cs="Times New Roman"/>
        </w:rPr>
        <w:t>Ethical approval and consent were not required.</w:t>
      </w:r>
    </w:p>
    <w:p w14:paraId="181CD1B2" w14:textId="77777777" w:rsidR="00B40DBB" w:rsidRPr="008C17AC" w:rsidRDefault="00B40DBB" w:rsidP="23EF21E2">
      <w:pPr>
        <w:spacing w:after="120" w:line="360" w:lineRule="auto"/>
        <w:ind w:right="-20" w:firstLine="567"/>
        <w:rPr>
          <w:rFonts w:ascii="Times New Roman" w:eastAsia="Times New Roman" w:hAnsi="Times New Roman" w:cs="Times New Roman"/>
          <w:b/>
          <w:bCs/>
        </w:rPr>
      </w:pPr>
    </w:p>
    <w:p w14:paraId="3633DCEC" w14:textId="508EFA15" w:rsidR="009D0FED" w:rsidRPr="008C17AC" w:rsidRDefault="18061DCF" w:rsidP="23EF21E2">
      <w:pPr>
        <w:spacing w:after="120" w:line="360" w:lineRule="auto"/>
        <w:ind w:right="-20"/>
        <w:rPr>
          <w:rFonts w:ascii="Times New Roman" w:eastAsia="Times New Roman" w:hAnsi="Times New Roman" w:cs="Times New Roman"/>
          <w:b/>
          <w:bCs/>
        </w:rPr>
      </w:pPr>
      <w:r w:rsidRPr="008C17AC">
        <w:rPr>
          <w:rFonts w:ascii="Times New Roman" w:eastAsia="Times New Roman" w:hAnsi="Times New Roman" w:cs="Times New Roman"/>
          <w:b/>
          <w:bCs/>
        </w:rPr>
        <w:t>Data availability</w:t>
      </w:r>
    </w:p>
    <w:p w14:paraId="2945CD97" w14:textId="75ECE60E" w:rsidR="00431946" w:rsidRPr="008C17AC" w:rsidRDefault="00431946" w:rsidP="23EF21E2">
      <w:pPr>
        <w:spacing w:after="120" w:line="360" w:lineRule="auto"/>
        <w:ind w:right="-20"/>
        <w:rPr>
          <w:rFonts w:ascii="Times New Roman" w:eastAsia="Times New Roman" w:hAnsi="Times New Roman" w:cs="Times New Roman"/>
          <w:i/>
          <w:iCs/>
        </w:rPr>
      </w:pPr>
      <w:r w:rsidRPr="008C17AC">
        <w:rPr>
          <w:rFonts w:ascii="Times New Roman" w:eastAsia="Times New Roman" w:hAnsi="Times New Roman" w:cs="Times New Roman"/>
        </w:rPr>
        <w:t xml:space="preserve">All materials, including the data extraction sheets, data and code are available on OSF (DOI </w:t>
      </w:r>
      <w:hyperlink r:id="rId34">
        <w:hyperlink r:id="rId35" w:history="1">
          <w:r w:rsidRPr="008C17AC">
            <w:rPr>
              <w:rStyle w:val="Hyperlink"/>
              <w:rFonts w:ascii="Times New Roman" w:eastAsia="Times New Roman" w:hAnsi="Times New Roman" w:cs="Times New Roman"/>
              <w:color w:val="auto"/>
            </w:rPr>
            <w:t>10.17605/OSF.IO/7EF5H</w:t>
          </w:r>
        </w:hyperlink>
        <w:r w:rsidRPr="008C17AC">
          <w:rPr>
            <w:rFonts w:ascii="Times New Roman" w:eastAsia="Times New Roman" w:hAnsi="Times New Roman" w:cs="Times New Roman"/>
          </w:rPr>
          <w:t>)</w:t>
        </w:r>
      </w:hyperlink>
    </w:p>
    <w:p w14:paraId="4EA71A01" w14:textId="52EF299D" w:rsidR="1E959256" w:rsidRPr="008C17AC" w:rsidRDefault="1E959256" w:rsidP="23EF21E2">
      <w:pPr>
        <w:spacing w:after="120" w:line="360" w:lineRule="auto"/>
        <w:ind w:right="-20" w:firstLine="567"/>
        <w:rPr>
          <w:rFonts w:ascii="Times New Roman" w:eastAsia="Times New Roman" w:hAnsi="Times New Roman" w:cs="Times New Roman"/>
          <w:i/>
          <w:iCs/>
        </w:rPr>
      </w:pPr>
    </w:p>
    <w:p w14:paraId="6513E2CD" w14:textId="037C19FA" w:rsidR="1E959256" w:rsidRPr="008C17AC" w:rsidRDefault="03B8F17E" w:rsidP="23EF21E2">
      <w:pPr>
        <w:spacing w:after="120" w:line="360" w:lineRule="auto"/>
        <w:ind w:right="-20"/>
        <w:rPr>
          <w:rFonts w:ascii="Times New Roman" w:eastAsia="Times New Roman" w:hAnsi="Times New Roman" w:cs="Times New Roman"/>
          <w:b/>
          <w:bCs/>
        </w:rPr>
      </w:pPr>
      <w:r w:rsidRPr="008C17AC">
        <w:rPr>
          <w:rFonts w:ascii="Times New Roman" w:eastAsia="Times New Roman" w:hAnsi="Times New Roman" w:cs="Times New Roman"/>
          <w:b/>
          <w:bCs/>
        </w:rPr>
        <w:t>Funding statement</w:t>
      </w:r>
    </w:p>
    <w:p w14:paraId="6E9672CA" w14:textId="3C4C64F0" w:rsidR="180D9568" w:rsidRPr="008C17AC" w:rsidRDefault="4D6DD372" w:rsidP="4FC3A8A0">
      <w:pPr>
        <w:spacing w:after="120" w:line="360" w:lineRule="auto"/>
        <w:ind w:right="-20"/>
        <w:rPr>
          <w:rFonts w:ascii="Times New Roman" w:eastAsia="Times New Roman" w:hAnsi="Times New Roman" w:cs="Times New Roman"/>
        </w:rPr>
      </w:pPr>
      <w:r w:rsidRPr="008C17AC">
        <w:rPr>
          <w:rFonts w:ascii="Times New Roman" w:eastAsia="Times New Roman" w:hAnsi="Times New Roman" w:cs="Times New Roman"/>
        </w:rPr>
        <w:t>T</w:t>
      </w:r>
      <w:r w:rsidR="353926B5" w:rsidRPr="008C17AC">
        <w:rPr>
          <w:rFonts w:ascii="Times New Roman" w:eastAsia="Times New Roman" w:hAnsi="Times New Roman" w:cs="Times New Roman"/>
        </w:rPr>
        <w:t xml:space="preserve">his work was supported by the projects OSIRIS and TIER2, funded by the European Union’s Horizon Europe research and innovation program under grant agreement No. 101094725 </w:t>
      </w:r>
      <w:r w:rsidR="00D80CF0" w:rsidRPr="008C17AC">
        <w:rPr>
          <w:rFonts w:ascii="Times New Roman" w:eastAsia="Times New Roman" w:hAnsi="Times New Roman" w:cs="Times New Roman"/>
        </w:rPr>
        <w:t xml:space="preserve">(OSIRIS) </w:t>
      </w:r>
      <w:r w:rsidR="353926B5" w:rsidRPr="008C17AC">
        <w:rPr>
          <w:rFonts w:ascii="Times New Roman" w:eastAsia="Times New Roman" w:hAnsi="Times New Roman" w:cs="Times New Roman"/>
        </w:rPr>
        <w:t xml:space="preserve">and </w:t>
      </w:r>
      <w:r w:rsidR="00D80CF0" w:rsidRPr="008C17AC">
        <w:rPr>
          <w:rFonts w:ascii="Times New Roman" w:eastAsia="Times New Roman" w:hAnsi="Times New Roman" w:cs="Times New Roman"/>
        </w:rPr>
        <w:t>101094817 (TIER2)</w:t>
      </w:r>
      <w:r w:rsidR="353926B5" w:rsidRPr="008C17AC">
        <w:rPr>
          <w:rFonts w:ascii="Times New Roman" w:eastAsia="Times New Roman" w:hAnsi="Times New Roman" w:cs="Times New Roman"/>
        </w:rPr>
        <w:t>. Views and opinions expressed are however those of the author(s) only and do not necessarily reflect those of the European Union or the European Research Executive Agency (ERA). Neither the European Union nor the ERA can be held responsible for them.</w:t>
      </w:r>
    </w:p>
    <w:p w14:paraId="25F939BB" w14:textId="4144C458" w:rsidR="4FC3A8A0" w:rsidRPr="008C17AC" w:rsidRDefault="4FC3A8A0" w:rsidP="4FC3A8A0">
      <w:pPr>
        <w:spacing w:after="120" w:line="360" w:lineRule="auto"/>
        <w:ind w:right="-20"/>
        <w:rPr>
          <w:rFonts w:ascii="Times New Roman" w:eastAsia="Times New Roman" w:hAnsi="Times New Roman" w:cs="Times New Roman"/>
        </w:rPr>
      </w:pPr>
    </w:p>
    <w:p w14:paraId="6875AB9E" w14:textId="056A1197" w:rsidR="2085AE75" w:rsidRPr="008C17AC" w:rsidRDefault="2085AE75" w:rsidP="67DA87C3">
      <w:pPr>
        <w:spacing w:after="120" w:line="360" w:lineRule="auto"/>
        <w:ind w:right="-20"/>
        <w:rPr>
          <w:rFonts w:ascii="Times New Roman" w:eastAsia="Times New Roman" w:hAnsi="Times New Roman" w:cs="Times New Roman"/>
          <w:b/>
          <w:bCs/>
        </w:rPr>
      </w:pPr>
      <w:r w:rsidRPr="008C17AC">
        <w:rPr>
          <w:rFonts w:ascii="Times New Roman" w:eastAsia="Times New Roman" w:hAnsi="Times New Roman" w:cs="Times New Roman"/>
          <w:b/>
          <w:bCs/>
        </w:rPr>
        <w:t>CRediT Author Statement</w:t>
      </w:r>
    </w:p>
    <w:p w14:paraId="6AFD6EFC" w14:textId="04242430" w:rsidR="2085AE75" w:rsidRPr="008C17AC" w:rsidRDefault="2085AE75" w:rsidP="67DA87C3">
      <w:pPr>
        <w:spacing w:after="120" w:line="360" w:lineRule="auto"/>
        <w:ind w:right="-20"/>
        <w:rPr>
          <w:rFonts w:ascii="Times New Roman" w:eastAsia="Times New Roman" w:hAnsi="Times New Roman" w:cs="Times New Roman"/>
        </w:rPr>
      </w:pPr>
      <w:r w:rsidRPr="008C17AC">
        <w:rPr>
          <w:rFonts w:ascii="Times New Roman" w:eastAsia="Times New Roman" w:hAnsi="Times New Roman" w:cs="Times New Roman"/>
        </w:rPr>
        <w:t>Leonie Dudda (ORCID 0009-0000-0759-7354): Methodology, investigation, writing (original draft), project administration.</w:t>
      </w:r>
    </w:p>
    <w:p w14:paraId="487F51C3" w14:textId="79520E64" w:rsidR="2085AE75" w:rsidRPr="008C17AC" w:rsidRDefault="2085AE75" w:rsidP="67DA87C3">
      <w:pPr>
        <w:spacing w:after="120" w:line="360" w:lineRule="auto"/>
        <w:ind w:right="-20"/>
        <w:rPr>
          <w:rFonts w:ascii="Times New Roman" w:eastAsia="Times New Roman" w:hAnsi="Times New Roman" w:cs="Times New Roman"/>
        </w:rPr>
      </w:pPr>
      <w:r w:rsidRPr="008C17AC">
        <w:rPr>
          <w:rFonts w:ascii="Times New Roman" w:eastAsia="Times New Roman" w:hAnsi="Times New Roman" w:cs="Times New Roman"/>
        </w:rPr>
        <w:t>Eva Kormann (ORCID 0009-0005-5680-365): Investigation, writing (review and editing)</w:t>
      </w:r>
    </w:p>
    <w:p w14:paraId="5D9C65DB" w14:textId="2DCE1D8B" w:rsidR="2085AE75" w:rsidRPr="008C17AC" w:rsidRDefault="2085AE75" w:rsidP="67DA87C3">
      <w:pPr>
        <w:spacing w:after="120" w:line="360" w:lineRule="auto"/>
        <w:ind w:right="-20"/>
        <w:rPr>
          <w:rFonts w:ascii="Times New Roman" w:eastAsia="Times New Roman" w:hAnsi="Times New Roman" w:cs="Times New Roman"/>
        </w:rPr>
      </w:pPr>
      <w:r w:rsidRPr="008C17AC">
        <w:rPr>
          <w:rFonts w:ascii="Times New Roman" w:eastAsia="Times New Roman" w:hAnsi="Times New Roman" w:cs="Times New Roman"/>
        </w:rPr>
        <w:t>Magdalena Kozula (ORCID 0000-0003-0333-4279): Investigation, writing (review and editing)</w:t>
      </w:r>
    </w:p>
    <w:p w14:paraId="4E5EAD12" w14:textId="7E80A402" w:rsidR="2085AE75" w:rsidRPr="008C17AC" w:rsidRDefault="2085AE75" w:rsidP="67DA87C3">
      <w:pPr>
        <w:spacing w:after="120" w:line="360" w:lineRule="auto"/>
        <w:ind w:right="-20"/>
        <w:rPr>
          <w:rFonts w:ascii="Times New Roman" w:eastAsia="Times New Roman" w:hAnsi="Times New Roman" w:cs="Times New Roman"/>
        </w:rPr>
      </w:pPr>
      <w:r w:rsidRPr="008C17AC">
        <w:rPr>
          <w:rFonts w:ascii="Times New Roman" w:eastAsia="Times New Roman" w:hAnsi="Times New Roman" w:cs="Times New Roman"/>
        </w:rPr>
        <w:t>Nicholas J. DeVito (ORCID 0000-0001-8286-1995): Conceptualization, investigation, writing (review and editing)</w:t>
      </w:r>
    </w:p>
    <w:p w14:paraId="212E5CE3" w14:textId="4F0F9A95" w:rsidR="2085AE75" w:rsidRPr="008C17AC" w:rsidRDefault="2085AE75" w:rsidP="67DA87C3">
      <w:pPr>
        <w:spacing w:after="120" w:line="360" w:lineRule="auto"/>
        <w:ind w:right="-20"/>
        <w:rPr>
          <w:rFonts w:ascii="Times New Roman" w:eastAsia="Times New Roman" w:hAnsi="Times New Roman" w:cs="Times New Roman"/>
        </w:rPr>
      </w:pPr>
      <w:r w:rsidRPr="008C17AC">
        <w:rPr>
          <w:rFonts w:ascii="Times New Roman" w:eastAsia="Times New Roman" w:hAnsi="Times New Roman" w:cs="Times New Roman"/>
        </w:rPr>
        <w:lastRenderedPageBreak/>
        <w:t>Thomas Klebel (ORCID 0000-0002-7331-4751): Software, investigation, writing (review and editing)</w:t>
      </w:r>
    </w:p>
    <w:p w14:paraId="71E2F72D" w14:textId="58AE802E" w:rsidR="2085AE75" w:rsidRPr="008C17AC" w:rsidRDefault="2085AE75" w:rsidP="67DA87C3">
      <w:pPr>
        <w:spacing w:after="120" w:line="360" w:lineRule="auto"/>
        <w:ind w:right="-20"/>
        <w:rPr>
          <w:rFonts w:ascii="Times New Roman" w:eastAsia="Times New Roman" w:hAnsi="Times New Roman" w:cs="Times New Roman"/>
        </w:rPr>
      </w:pPr>
      <w:r w:rsidRPr="008C17AC">
        <w:rPr>
          <w:rFonts w:ascii="Times New Roman" w:eastAsia="Times New Roman" w:hAnsi="Times New Roman" w:cs="Times New Roman"/>
        </w:rPr>
        <w:t>Ayu P.M. Dewi: Software, formal analysis, investigation, writing (review and editing), visualization</w:t>
      </w:r>
    </w:p>
    <w:p w14:paraId="6F5378EC" w14:textId="586854E7" w:rsidR="2085AE75" w:rsidRPr="008C17AC" w:rsidRDefault="2085AE75" w:rsidP="67DA87C3">
      <w:pPr>
        <w:spacing w:after="120" w:line="360" w:lineRule="auto"/>
        <w:ind w:right="-20"/>
        <w:rPr>
          <w:rFonts w:ascii="Times New Roman" w:eastAsia="Times New Roman" w:hAnsi="Times New Roman" w:cs="Times New Roman"/>
        </w:rPr>
      </w:pPr>
      <w:r w:rsidRPr="008C17AC">
        <w:rPr>
          <w:rFonts w:ascii="Times New Roman" w:eastAsia="Times New Roman" w:hAnsi="Times New Roman" w:cs="Times New Roman"/>
          <w:lang w:val="en-US"/>
        </w:rPr>
        <w:t>René Spijker (ORCID 0000-0003-4445-1201): I</w:t>
      </w:r>
      <w:r w:rsidRPr="008C17AC">
        <w:rPr>
          <w:rFonts w:ascii="Times New Roman" w:eastAsia="Times New Roman" w:hAnsi="Times New Roman" w:cs="Times New Roman"/>
        </w:rPr>
        <w:t>nvestigation, writing (review and editing), project organization.</w:t>
      </w:r>
    </w:p>
    <w:p w14:paraId="6A6E82EE" w14:textId="11971311" w:rsidR="2085AE75" w:rsidRPr="008C17AC" w:rsidRDefault="2085AE75" w:rsidP="67DA87C3">
      <w:pPr>
        <w:spacing w:after="120" w:line="360" w:lineRule="auto"/>
        <w:ind w:right="-20"/>
        <w:rPr>
          <w:rFonts w:ascii="Times New Roman" w:eastAsia="Times New Roman" w:hAnsi="Times New Roman" w:cs="Times New Roman"/>
        </w:rPr>
      </w:pPr>
      <w:r w:rsidRPr="008C17AC">
        <w:rPr>
          <w:rFonts w:ascii="Times New Roman" w:eastAsia="Times New Roman" w:hAnsi="Times New Roman" w:cs="Times New Roman"/>
          <w:lang w:val="en-US"/>
        </w:rPr>
        <w:t xml:space="preserve">Inge Stegeman (ORCID 0000-0001-5154-7178): </w:t>
      </w:r>
      <w:r w:rsidRPr="008C17AC">
        <w:rPr>
          <w:rFonts w:ascii="Times New Roman" w:eastAsia="Times New Roman" w:hAnsi="Times New Roman" w:cs="Times New Roman"/>
        </w:rPr>
        <w:t>Conceptualization, methodology, writing (review and editing), supervision, funding acquisition.</w:t>
      </w:r>
    </w:p>
    <w:p w14:paraId="3D25F669" w14:textId="0DF49EBE" w:rsidR="2085AE75" w:rsidRPr="008C17AC" w:rsidRDefault="2085AE75" w:rsidP="67DA87C3">
      <w:pPr>
        <w:spacing w:after="120" w:line="360" w:lineRule="auto"/>
        <w:ind w:right="-20"/>
        <w:rPr>
          <w:rFonts w:ascii="Times New Roman" w:eastAsia="Times New Roman" w:hAnsi="Times New Roman" w:cs="Times New Roman"/>
        </w:rPr>
      </w:pPr>
      <w:r w:rsidRPr="008C17AC">
        <w:rPr>
          <w:rFonts w:ascii="Times New Roman" w:eastAsia="Times New Roman" w:hAnsi="Times New Roman" w:cs="Times New Roman"/>
          <w:lang w:val="en-US"/>
        </w:rPr>
        <w:t xml:space="preserve">Veerle Van den Eynden (ORCID 0000-0003-2542-2747): </w:t>
      </w:r>
      <w:r w:rsidRPr="008C17AC">
        <w:rPr>
          <w:rFonts w:ascii="Times New Roman" w:eastAsia="Times New Roman" w:hAnsi="Times New Roman" w:cs="Times New Roman"/>
        </w:rPr>
        <w:t>Conceptualization, investigation, data curation, writing (original draft, review and editing), supervision, resources, funding acquisition.</w:t>
      </w:r>
    </w:p>
    <w:p w14:paraId="69D89DF4" w14:textId="249ED6D7" w:rsidR="2085AE75" w:rsidRPr="008C17AC" w:rsidRDefault="2085AE75" w:rsidP="67DA87C3">
      <w:pPr>
        <w:spacing w:after="120" w:line="360" w:lineRule="auto"/>
        <w:ind w:right="-20"/>
        <w:rPr>
          <w:rFonts w:ascii="Times New Roman" w:eastAsia="Times New Roman" w:hAnsi="Times New Roman" w:cs="Times New Roman"/>
        </w:rPr>
      </w:pPr>
      <w:r w:rsidRPr="008C17AC">
        <w:rPr>
          <w:rFonts w:ascii="Times New Roman" w:eastAsia="Times New Roman" w:hAnsi="Times New Roman" w:cs="Times New Roman"/>
        </w:rPr>
        <w:t>Tony Ross-Hellauer (ORCID 0000-0003-4470-7027): Conceptualization, investigation, writing (original draft, review and editing), supervision, resources, funding acquisition.</w:t>
      </w:r>
    </w:p>
    <w:p w14:paraId="77A84FC5" w14:textId="21727813" w:rsidR="2085AE75" w:rsidRPr="008C17AC" w:rsidRDefault="2085AE75" w:rsidP="67DA87C3">
      <w:pPr>
        <w:spacing w:after="120" w:line="360" w:lineRule="auto"/>
        <w:ind w:right="-20"/>
        <w:rPr>
          <w:rFonts w:ascii="Times New Roman" w:eastAsia="Times New Roman" w:hAnsi="Times New Roman" w:cs="Times New Roman"/>
        </w:rPr>
      </w:pPr>
      <w:r w:rsidRPr="008C17AC">
        <w:rPr>
          <w:rFonts w:ascii="Times New Roman" w:eastAsia="Times New Roman" w:hAnsi="Times New Roman" w:cs="Times New Roman"/>
        </w:rPr>
        <w:t>Mariska M.G. Leeflang (ORCID 0000-0001-5960-0471): Conceptualization, methodology, formal analysis, investigation, data curation, writing (original draft, review and editing), supervision, funding acquisition.</w:t>
      </w:r>
    </w:p>
    <w:p w14:paraId="493B75A7" w14:textId="24A9A509" w:rsidR="67DA87C3" w:rsidRPr="008C17AC" w:rsidRDefault="67DA87C3" w:rsidP="67DA87C3">
      <w:pPr>
        <w:spacing w:after="120" w:line="360" w:lineRule="auto"/>
        <w:ind w:right="-20"/>
        <w:rPr>
          <w:rFonts w:ascii="Times New Roman" w:eastAsia="Times New Roman" w:hAnsi="Times New Roman" w:cs="Times New Roman"/>
        </w:rPr>
      </w:pPr>
    </w:p>
    <w:p w14:paraId="09DD66C9" w14:textId="018CF4F8" w:rsidR="6E6D3F14" w:rsidRPr="008C17AC" w:rsidRDefault="69583604" w:rsidP="23EF21E2">
      <w:pPr>
        <w:spacing w:after="120" w:line="360" w:lineRule="auto"/>
        <w:ind w:right="-20"/>
        <w:rPr>
          <w:rFonts w:ascii="Times New Roman" w:eastAsia="Times New Roman" w:hAnsi="Times New Roman" w:cs="Times New Roman"/>
        </w:rPr>
      </w:pPr>
      <w:r w:rsidRPr="008C17AC">
        <w:rPr>
          <w:rFonts w:ascii="Times New Roman" w:eastAsia="Times New Roman" w:hAnsi="Times New Roman" w:cs="Times New Roman"/>
          <w:b/>
          <w:bCs/>
        </w:rPr>
        <w:t>Acknowledgements</w:t>
      </w:r>
    </w:p>
    <w:p w14:paraId="422B7564" w14:textId="7EBA6DEB" w:rsidR="1E959256" w:rsidRPr="008C17AC" w:rsidRDefault="6E8A5981" w:rsidP="7529D9A3">
      <w:pPr>
        <w:spacing w:after="120" w:line="360" w:lineRule="auto"/>
        <w:ind w:right="-20"/>
        <w:rPr>
          <w:rFonts w:ascii="Times New Roman" w:eastAsia="Times New Roman" w:hAnsi="Times New Roman" w:cs="Times New Roman"/>
        </w:rPr>
      </w:pPr>
      <w:r w:rsidRPr="008C17AC">
        <w:rPr>
          <w:rFonts w:ascii="Times New Roman" w:eastAsia="Times New Roman" w:hAnsi="Times New Roman" w:cs="Times New Roman"/>
        </w:rPr>
        <w:t>We gladly acknowledge the contributions of members of OSIRIS and TIER</w:t>
      </w:r>
      <w:r w:rsidR="24D76036" w:rsidRPr="008C17AC">
        <w:rPr>
          <w:rFonts w:ascii="Times New Roman" w:eastAsia="Times New Roman" w:hAnsi="Times New Roman" w:cs="Times New Roman"/>
        </w:rPr>
        <w:t>2 in comments on the draft protocol (</w:t>
      </w:r>
      <w:r w:rsidR="6A65362B" w:rsidRPr="008C17AC">
        <w:rPr>
          <w:rFonts w:ascii="Times New Roman" w:eastAsia="Times New Roman" w:hAnsi="Times New Roman" w:cs="Times New Roman"/>
        </w:rPr>
        <w:t>Patrick Onghena, Florian Naudet, Rita Banzi, Maddalena Fratelli, Monika Varga, Yuri Gelsleichter)</w:t>
      </w:r>
      <w:r w:rsidR="24D76036" w:rsidRPr="008C17AC">
        <w:rPr>
          <w:rFonts w:ascii="Times New Roman" w:eastAsia="Times New Roman" w:hAnsi="Times New Roman" w:cs="Times New Roman"/>
        </w:rPr>
        <w:t>, literatur</w:t>
      </w:r>
      <w:r w:rsidR="2C39443B" w:rsidRPr="008C17AC">
        <w:rPr>
          <w:rFonts w:ascii="Times New Roman" w:eastAsia="Times New Roman" w:hAnsi="Times New Roman" w:cs="Times New Roman"/>
        </w:rPr>
        <w:t xml:space="preserve">e </w:t>
      </w:r>
      <w:r w:rsidR="24D76036" w:rsidRPr="008C17AC">
        <w:rPr>
          <w:rFonts w:ascii="Times New Roman" w:eastAsia="Times New Roman" w:hAnsi="Times New Roman" w:cs="Times New Roman"/>
        </w:rPr>
        <w:t xml:space="preserve">screening </w:t>
      </w:r>
      <w:r w:rsidR="6ADD26F5" w:rsidRPr="008C17AC">
        <w:rPr>
          <w:rFonts w:ascii="Times New Roman" w:eastAsia="Times New Roman" w:hAnsi="Times New Roman" w:cs="Times New Roman"/>
        </w:rPr>
        <w:t>(Gowri</w:t>
      </w:r>
      <w:r w:rsidR="516695B3" w:rsidRPr="008C17AC">
        <w:rPr>
          <w:rFonts w:ascii="Times New Roman" w:eastAsia="Times New Roman" w:hAnsi="Times New Roman" w:cs="Times New Roman"/>
        </w:rPr>
        <w:t xml:space="preserve"> Gopalakrisha</w:t>
      </w:r>
      <w:r w:rsidR="6ADD26F5" w:rsidRPr="008C17AC">
        <w:rPr>
          <w:rFonts w:ascii="Times New Roman" w:eastAsia="Times New Roman" w:hAnsi="Times New Roman" w:cs="Times New Roman"/>
        </w:rPr>
        <w:t>, Stefania</w:t>
      </w:r>
      <w:r w:rsidR="63B49A0B" w:rsidRPr="008C17AC">
        <w:rPr>
          <w:rFonts w:ascii="Times New Roman" w:eastAsia="Times New Roman" w:hAnsi="Times New Roman" w:cs="Times New Roman"/>
        </w:rPr>
        <w:t xml:space="preserve"> Amodeo</w:t>
      </w:r>
      <w:r w:rsidR="6ADD26F5" w:rsidRPr="008C17AC">
        <w:rPr>
          <w:rFonts w:ascii="Times New Roman" w:eastAsia="Times New Roman" w:hAnsi="Times New Roman" w:cs="Times New Roman"/>
        </w:rPr>
        <w:t>, Simone</w:t>
      </w:r>
      <w:r w:rsidR="0FC902A2" w:rsidRPr="008C17AC">
        <w:rPr>
          <w:rFonts w:ascii="Times New Roman" w:eastAsia="Times New Roman" w:hAnsi="Times New Roman" w:cs="Times New Roman"/>
        </w:rPr>
        <w:t xml:space="preserve"> Kopeinik</w:t>
      </w:r>
      <w:r w:rsidR="6ADD26F5" w:rsidRPr="008C17AC">
        <w:rPr>
          <w:rFonts w:ascii="Times New Roman" w:eastAsia="Times New Roman" w:hAnsi="Times New Roman" w:cs="Times New Roman"/>
        </w:rPr>
        <w:t xml:space="preserve">), and helpful comments on an advanced draft of this manuscript </w:t>
      </w:r>
      <w:r w:rsidR="76408F95" w:rsidRPr="008C17AC">
        <w:rPr>
          <w:rFonts w:ascii="Times New Roman" w:eastAsia="Times New Roman" w:hAnsi="Times New Roman" w:cs="Times New Roman"/>
        </w:rPr>
        <w:t xml:space="preserve">(Florian Naudet, Hynek Roubik, David Moher, </w:t>
      </w:r>
      <w:r w:rsidR="621DEAD4" w:rsidRPr="008C17AC">
        <w:rPr>
          <w:rFonts w:ascii="Times New Roman" w:eastAsia="Times New Roman" w:hAnsi="Times New Roman" w:cs="Times New Roman"/>
        </w:rPr>
        <w:t>Olavo Boher Amaral,</w:t>
      </w:r>
      <w:r w:rsidR="07052B34" w:rsidRPr="008C17AC">
        <w:rPr>
          <w:rFonts w:ascii="Times New Roman" w:eastAsia="Times New Roman" w:hAnsi="Times New Roman" w:cs="Times New Roman"/>
        </w:rPr>
        <w:t xml:space="preserve"> Massimo Grassi</w:t>
      </w:r>
      <w:r w:rsidR="14FDFCC2" w:rsidRPr="008C17AC">
        <w:rPr>
          <w:rFonts w:ascii="Times New Roman" w:eastAsia="Times New Roman" w:hAnsi="Times New Roman" w:cs="Times New Roman"/>
        </w:rPr>
        <w:t>)</w:t>
      </w:r>
      <w:r w:rsidR="6ADD26F5" w:rsidRPr="008C17AC">
        <w:rPr>
          <w:rFonts w:ascii="Times New Roman" w:eastAsia="Times New Roman" w:hAnsi="Times New Roman" w:cs="Times New Roman"/>
        </w:rPr>
        <w:t>.</w:t>
      </w:r>
    </w:p>
    <w:p w14:paraId="495A08A8" w14:textId="79DDE193" w:rsidR="307E1995" w:rsidRPr="008C17AC" w:rsidRDefault="307E1995" w:rsidP="307E1995">
      <w:pPr>
        <w:spacing w:after="120" w:line="360" w:lineRule="auto"/>
        <w:ind w:right="-20" w:firstLine="567"/>
        <w:rPr>
          <w:rFonts w:ascii="Times New Roman" w:eastAsia="Times New Roman" w:hAnsi="Times New Roman" w:cs="Times New Roman"/>
          <w:b/>
          <w:bCs/>
          <w:sz w:val="24"/>
          <w:szCs w:val="24"/>
        </w:rPr>
      </w:pPr>
    </w:p>
    <w:p w14:paraId="4940BF7D" w14:textId="2467A43F" w:rsidR="307E1995" w:rsidRPr="008C17AC" w:rsidRDefault="307E1995" w:rsidP="307E1995">
      <w:pPr>
        <w:spacing w:after="120" w:line="360" w:lineRule="auto"/>
        <w:ind w:right="-20" w:firstLine="567"/>
        <w:rPr>
          <w:rFonts w:ascii="Times New Roman" w:eastAsia="Times New Roman" w:hAnsi="Times New Roman" w:cs="Times New Roman"/>
          <w:b/>
          <w:bCs/>
          <w:sz w:val="24"/>
          <w:szCs w:val="24"/>
        </w:rPr>
      </w:pPr>
    </w:p>
    <w:p w14:paraId="22352636" w14:textId="0DF351A4" w:rsidR="095B1C47" w:rsidRPr="008C17AC" w:rsidRDefault="095B1C47" w:rsidP="67DA87C3">
      <w:pPr>
        <w:spacing w:after="120" w:line="360" w:lineRule="auto"/>
        <w:ind w:right="-20"/>
        <w:rPr>
          <w:rFonts w:ascii="Times New Roman" w:eastAsia="Times New Roman" w:hAnsi="Times New Roman" w:cs="Times New Roman"/>
          <w:sz w:val="24"/>
          <w:szCs w:val="24"/>
        </w:rPr>
      </w:pPr>
      <w:r w:rsidRPr="008C17AC">
        <w:rPr>
          <w:rFonts w:ascii="Times New Roman" w:eastAsia="Times New Roman" w:hAnsi="Times New Roman" w:cs="Times New Roman"/>
          <w:sz w:val="24"/>
          <w:szCs w:val="24"/>
        </w:rPr>
        <w:t xml:space="preserve"> </w:t>
      </w:r>
    </w:p>
    <w:p w14:paraId="2FE9ED9D" w14:textId="6BA7AB6C" w:rsidR="67DA87C3" w:rsidRPr="008C17AC" w:rsidRDefault="67DA87C3" w:rsidP="67DA87C3">
      <w:pPr>
        <w:spacing w:after="120" w:line="360" w:lineRule="auto"/>
        <w:ind w:right="-20"/>
        <w:rPr>
          <w:rFonts w:ascii="Times New Roman" w:eastAsia="Times New Roman" w:hAnsi="Times New Roman" w:cs="Times New Roman"/>
          <w:sz w:val="24"/>
          <w:szCs w:val="24"/>
        </w:rPr>
      </w:pPr>
    </w:p>
    <w:p w14:paraId="16180150" w14:textId="60136E46" w:rsidR="67DA87C3" w:rsidRPr="008C17AC" w:rsidRDefault="67DA87C3" w:rsidP="67DA87C3">
      <w:pPr>
        <w:spacing w:after="120" w:line="360" w:lineRule="auto"/>
        <w:ind w:right="-20"/>
        <w:rPr>
          <w:rFonts w:ascii="Times New Roman" w:eastAsia="Times New Roman" w:hAnsi="Times New Roman" w:cs="Times New Roman"/>
          <w:sz w:val="24"/>
          <w:szCs w:val="24"/>
        </w:rPr>
      </w:pPr>
    </w:p>
    <w:p w14:paraId="7A1D7F55" w14:textId="65B3A441" w:rsidR="67DA87C3" w:rsidRPr="008C17AC" w:rsidRDefault="67DA87C3" w:rsidP="67DA87C3">
      <w:pPr>
        <w:spacing w:after="120" w:line="360" w:lineRule="auto"/>
        <w:ind w:right="-20"/>
        <w:rPr>
          <w:rFonts w:ascii="Times New Roman" w:eastAsia="Times New Roman" w:hAnsi="Times New Roman" w:cs="Times New Roman"/>
          <w:sz w:val="24"/>
          <w:szCs w:val="24"/>
        </w:rPr>
      </w:pPr>
    </w:p>
    <w:p w14:paraId="78A2F693" w14:textId="6BD87B0F" w:rsidR="67DA87C3" w:rsidRPr="008C17AC" w:rsidRDefault="67DA87C3">
      <w:pPr>
        <w:rPr>
          <w:rFonts w:ascii="Times New Roman" w:hAnsi="Times New Roman" w:cs="Times New Roman"/>
        </w:rPr>
      </w:pPr>
      <w:r w:rsidRPr="008C17AC">
        <w:rPr>
          <w:rFonts w:ascii="Times New Roman" w:hAnsi="Times New Roman" w:cs="Times New Roman"/>
        </w:rPr>
        <w:br w:type="page"/>
      </w:r>
    </w:p>
    <w:p w14:paraId="2346509B" w14:textId="24D5688C" w:rsidR="003B7C68" w:rsidRPr="008C17AC" w:rsidRDefault="736092E2" w:rsidP="003F0ADD">
      <w:pPr>
        <w:spacing w:after="120" w:line="360" w:lineRule="auto"/>
        <w:ind w:right="-20" w:firstLine="567"/>
        <w:rPr>
          <w:rFonts w:ascii="Times New Roman" w:eastAsia="Times New Roman" w:hAnsi="Times New Roman" w:cs="Times New Roman"/>
          <w:b/>
          <w:bCs/>
          <w:sz w:val="24"/>
          <w:szCs w:val="24"/>
        </w:rPr>
      </w:pPr>
      <w:r w:rsidRPr="008C17AC">
        <w:rPr>
          <w:rFonts w:ascii="Times New Roman" w:eastAsia="Times New Roman" w:hAnsi="Times New Roman" w:cs="Times New Roman"/>
          <w:b/>
          <w:bCs/>
          <w:sz w:val="24"/>
          <w:szCs w:val="24"/>
        </w:rPr>
        <w:lastRenderedPageBreak/>
        <w:t>References</w:t>
      </w:r>
    </w:p>
    <w:p w14:paraId="45EFAA98" w14:textId="77777777" w:rsidR="00943874" w:rsidRPr="008C17AC" w:rsidRDefault="003B7C68" w:rsidP="00943874">
      <w:pPr>
        <w:pStyle w:val="Bibliografie"/>
        <w:rPr>
          <w:rFonts w:ascii="Times New Roman" w:hAnsi="Times New Roman" w:cs="Times New Roman"/>
        </w:rPr>
      </w:pPr>
      <w:r w:rsidRPr="008C17AC">
        <w:rPr>
          <w:rFonts w:ascii="Times New Roman" w:eastAsia="Times New Roman" w:hAnsi="Times New Roman" w:cs="Times New Roman"/>
          <w:b/>
          <w:bCs/>
        </w:rPr>
        <w:fldChar w:fldCharType="begin"/>
      </w:r>
      <w:r w:rsidR="002634CF" w:rsidRPr="008C17AC">
        <w:rPr>
          <w:rFonts w:ascii="Times New Roman" w:eastAsia="Times New Roman" w:hAnsi="Times New Roman" w:cs="Times New Roman"/>
          <w:b/>
          <w:bCs/>
        </w:rPr>
        <w:instrText xml:space="preserve"> ADDIN ZOTERO_BIBL {"uncited":[],"omitted":[],"custom":[]} CSL_BIBLIOGRAPHY </w:instrText>
      </w:r>
      <w:r w:rsidRPr="008C17AC">
        <w:rPr>
          <w:rFonts w:ascii="Times New Roman" w:eastAsia="Times New Roman" w:hAnsi="Times New Roman" w:cs="Times New Roman"/>
          <w:b/>
          <w:bCs/>
        </w:rPr>
        <w:fldChar w:fldCharType="separate"/>
      </w:r>
      <w:r w:rsidR="00943874" w:rsidRPr="008C17AC">
        <w:rPr>
          <w:rFonts w:ascii="Times New Roman" w:hAnsi="Times New Roman" w:cs="Times New Roman"/>
        </w:rPr>
        <w:t xml:space="preserve">1. </w:t>
      </w:r>
      <w:r w:rsidR="00943874" w:rsidRPr="008C17AC">
        <w:rPr>
          <w:rFonts w:ascii="Times New Roman" w:hAnsi="Times New Roman" w:cs="Times New Roman"/>
        </w:rPr>
        <w:tab/>
        <w:t>Baker M. 1,500 scientists lift the lid on reproducibility. Nature. 2016;533: 452–454. doi:10.1038/533452a</w:t>
      </w:r>
    </w:p>
    <w:p w14:paraId="16706469"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2. </w:t>
      </w:r>
      <w:r w:rsidRPr="008C17AC">
        <w:rPr>
          <w:rFonts w:ascii="Times New Roman" w:hAnsi="Times New Roman" w:cs="Times New Roman"/>
        </w:rPr>
        <w:tab/>
        <w:t>Vazire S. Implications of the Credibility Revolution for Productivity, Creativity, and Progress. Perspect Psychol Sci. 2018;13: 411–417. doi:10.1177/1745691617751884</w:t>
      </w:r>
    </w:p>
    <w:p w14:paraId="70C8C5CA"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3. </w:t>
      </w:r>
      <w:r w:rsidRPr="008C17AC">
        <w:rPr>
          <w:rFonts w:ascii="Times New Roman" w:hAnsi="Times New Roman" w:cs="Times New Roman"/>
        </w:rPr>
        <w:tab/>
        <w:t>Ioannidis JPA. Why Most Published Research Findings Are False. PLOS Med. 2005;2: e124. doi:10.1371/journal.pmed.0020124</w:t>
      </w:r>
    </w:p>
    <w:p w14:paraId="6158D8AE"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4. </w:t>
      </w:r>
      <w:r w:rsidRPr="008C17AC">
        <w:rPr>
          <w:rFonts w:ascii="Times New Roman" w:hAnsi="Times New Roman" w:cs="Times New Roman"/>
        </w:rPr>
        <w:tab/>
        <w:t>Nosek BA, Hardwicke TE, Moshontz H, Allard A, Corker KS, Dreber A, et al. Replicability, Robustness, and Reproducibility in Psychological Science. Annu Rev Psychol. 2022;73: 719–748. doi:10.1146/annurev-psych-020821-114157</w:t>
      </w:r>
    </w:p>
    <w:p w14:paraId="287D869F"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5. </w:t>
      </w:r>
      <w:r w:rsidRPr="008C17AC">
        <w:rPr>
          <w:rFonts w:ascii="Times New Roman" w:hAnsi="Times New Roman" w:cs="Times New Roman"/>
        </w:rPr>
        <w:tab/>
        <w:t>Bishop D. Rein in the four horsemen of irreproducibility. Nature. 2019;568: 435–435. doi:10.1038/d41586-019-01307-2</w:t>
      </w:r>
    </w:p>
    <w:p w14:paraId="72A23B74"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6. </w:t>
      </w:r>
      <w:r w:rsidRPr="008C17AC">
        <w:rPr>
          <w:rFonts w:ascii="Times New Roman" w:hAnsi="Times New Roman" w:cs="Times New Roman"/>
        </w:rPr>
        <w:tab/>
        <w:t>Phillips PWB, Castle D, Smyth SJ. Evidence-based policy making: determining what is evidence. Heliyon. 2020;6: e04519. doi:10.1016/j.heliyon.2020.e04519</w:t>
      </w:r>
    </w:p>
    <w:p w14:paraId="54CFCC19"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7. </w:t>
      </w:r>
      <w:r w:rsidRPr="008C17AC">
        <w:rPr>
          <w:rFonts w:ascii="Times New Roman" w:hAnsi="Times New Roman" w:cs="Times New Roman"/>
        </w:rPr>
        <w:tab/>
        <w:t>Saltelli A, Giampietro M. What is wrong with evidence based policy, and how can it be improved? Futures. 2017;91: 62–71. doi:10.1016/j.futures.2016.11.012</w:t>
      </w:r>
    </w:p>
    <w:p w14:paraId="42D5B7C5"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8. </w:t>
      </w:r>
      <w:r w:rsidRPr="008C17AC">
        <w:rPr>
          <w:rFonts w:ascii="Times New Roman" w:hAnsi="Times New Roman" w:cs="Times New Roman"/>
        </w:rPr>
        <w:tab/>
        <w:t>Wingen T, Berkessel JB, Englich B. No Replication, No Trust? How Low Replicability Influences Trust in Psychology. Soc Psychol Personal Sci. 2020;11: 454–463. doi:10.1177/1948550619877412</w:t>
      </w:r>
    </w:p>
    <w:p w14:paraId="1BF7CE7F"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9. </w:t>
      </w:r>
      <w:r w:rsidRPr="008C17AC">
        <w:rPr>
          <w:rFonts w:ascii="Times New Roman" w:hAnsi="Times New Roman" w:cs="Times New Roman"/>
        </w:rPr>
        <w:tab/>
        <w:t>National Academies of Sciences E, Division H and M, Services B on HC, Policy B on HS, Health R on G and P, Forum NCP, et al. Transparency and Trust. Enhancing Scientific Reproducibility in Biomedical Research Through Transparent Reporting: Proceedings of a Workshop. National Academies Press (US); 2020. Available: https://www.ncbi.nlm.nih.gov/books/NBK556622/</w:t>
      </w:r>
    </w:p>
    <w:p w14:paraId="0CB98E05"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10. </w:t>
      </w:r>
      <w:r w:rsidRPr="008C17AC">
        <w:rPr>
          <w:rFonts w:ascii="Times New Roman" w:hAnsi="Times New Roman" w:cs="Times New Roman"/>
        </w:rPr>
        <w:tab/>
        <w:t>Goodman SN, Fanelli D, Ioannidis JPA. What does research reproducibility mean? Sci Transl Med. 2016;8: 341ps12-341ps12. doi:10.1126/scitranslmed.aaf5027</w:t>
      </w:r>
    </w:p>
    <w:p w14:paraId="458A0BEA"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11. </w:t>
      </w:r>
      <w:r w:rsidRPr="008C17AC">
        <w:rPr>
          <w:rFonts w:ascii="Times New Roman" w:hAnsi="Times New Roman" w:cs="Times New Roman"/>
        </w:rPr>
        <w:tab/>
        <w:t>Gelman A. Essay: The Experiments Are Fascinating. But Nobody Can Repeat Them. The New York Times. 20 Nov 2018. Available: https://www.nytimes.com/2018/11/19/science/science-research-fraud-reproducibility.html. Accessed 21 May 2024.</w:t>
      </w:r>
    </w:p>
    <w:p w14:paraId="5BF7EF64"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12. </w:t>
      </w:r>
      <w:r w:rsidRPr="008C17AC">
        <w:rPr>
          <w:rFonts w:ascii="Times New Roman" w:hAnsi="Times New Roman" w:cs="Times New Roman"/>
        </w:rPr>
        <w:tab/>
        <w:t>Feilden T. Most scientists “can’t replicate studies by their peers.” BBC News. 22 Feb 2017. Available: https://www.bbc.com/news/science-environment-39054778. Accessed 21 May 2024.</w:t>
      </w:r>
    </w:p>
    <w:p w14:paraId="51A7B1EF"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13. </w:t>
      </w:r>
      <w:r w:rsidRPr="008C17AC">
        <w:rPr>
          <w:rFonts w:ascii="Times New Roman" w:hAnsi="Times New Roman" w:cs="Times New Roman"/>
        </w:rPr>
        <w:tab/>
        <w:t>Open Science Collaboration. Estimating the reproducibility of psychological science. Science. 2015;349: aac4716. doi:10.1126/science.aac4716</w:t>
      </w:r>
    </w:p>
    <w:p w14:paraId="2961F92A"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14. </w:t>
      </w:r>
      <w:r w:rsidRPr="008C17AC">
        <w:rPr>
          <w:rFonts w:ascii="Times New Roman" w:hAnsi="Times New Roman" w:cs="Times New Roman"/>
        </w:rPr>
        <w:tab/>
        <w:t>Prinz F, Schlange T, Asadullah K. Believe it or not: how much can we rely on published data on potential drug targets? Nat Rev Drug Discov. 2011;10: 712–712. doi:10.1038/nrd3439-c1</w:t>
      </w:r>
    </w:p>
    <w:p w14:paraId="2EA083D8"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15. </w:t>
      </w:r>
      <w:r w:rsidRPr="008C17AC">
        <w:rPr>
          <w:rFonts w:ascii="Times New Roman" w:hAnsi="Times New Roman" w:cs="Times New Roman"/>
        </w:rPr>
        <w:tab/>
        <w:t>Errington TM, Mathur M, Soderberg CK, Denis A, Perfito N, Iorns E, et al. Investigating the replicability of preclinical cancer biology. Elife. 2021;10: null. doi:10.7554/eLife.71601</w:t>
      </w:r>
    </w:p>
    <w:p w14:paraId="5EEEC929"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lastRenderedPageBreak/>
        <w:t xml:space="preserve">16. </w:t>
      </w:r>
      <w:r w:rsidRPr="008C17AC">
        <w:rPr>
          <w:rFonts w:ascii="Times New Roman" w:hAnsi="Times New Roman" w:cs="Times New Roman"/>
        </w:rPr>
        <w:tab/>
        <w:t>Camerer CF, Dreber A, Forsell E, Ho T-H, Huber J, Johannesson M, et al. Evaluating replicability of laboratory experiments in economics. Science. 2016;351: 1433–1436. doi:10.1126/science.aaf0918</w:t>
      </w:r>
    </w:p>
    <w:p w14:paraId="09A825FB"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17. </w:t>
      </w:r>
      <w:r w:rsidRPr="008C17AC">
        <w:rPr>
          <w:rFonts w:ascii="Times New Roman" w:hAnsi="Times New Roman" w:cs="Times New Roman"/>
        </w:rPr>
        <w:tab/>
        <w:t>Camerer CF, Dreber A, Holzmeister F, Ho TH, Huber J, Johannesson M, et al. Evaluating the replicability of social science experiments in Nature and Science between 2010 and 2015. Nat Hum Behav. 20180827th ed. 2018;2: 637–644. doi:10.1038/s41562-018-0399-z</w:t>
      </w:r>
    </w:p>
    <w:p w14:paraId="12C5B9DF"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18. </w:t>
      </w:r>
      <w:r w:rsidRPr="008C17AC">
        <w:rPr>
          <w:rFonts w:ascii="Times New Roman" w:hAnsi="Times New Roman" w:cs="Times New Roman"/>
        </w:rPr>
        <w:tab/>
        <w:t>Six factors affecting reproducibility in life science research and how to handle them. [cited 7 May 2024]. Available: https://www.nature.com/articles/d42473-019-00004-y</w:t>
      </w:r>
    </w:p>
    <w:p w14:paraId="46784F84"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19. </w:t>
      </w:r>
      <w:r w:rsidRPr="008C17AC">
        <w:rPr>
          <w:rFonts w:ascii="Times New Roman" w:hAnsi="Times New Roman" w:cs="Times New Roman"/>
        </w:rPr>
        <w:tab/>
        <w:t>Munafo MR, Nosek BA, Bishop DVM, Button KS, Chambers CD, du Sert NP, et al. A manifesto for reproducible science. Nat Hum Behav. 2017;1: 0021. doi:10.1038/s41562-016-0021</w:t>
      </w:r>
    </w:p>
    <w:p w14:paraId="108F5AF1"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20. </w:t>
      </w:r>
      <w:r w:rsidRPr="008C17AC">
        <w:rPr>
          <w:rFonts w:ascii="Times New Roman" w:hAnsi="Times New Roman" w:cs="Times New Roman"/>
        </w:rPr>
        <w:tab/>
        <w:t>National Academies of Sciences E, Affairs P and G, Committee on Science E, Information B on RD and, Sciences D on E and P, Statistics C on A and T, et al. Understanding Reproducibility and Replicability. Reproducibility and Replicability in Science. National Academies Press (US); 2019. Available: https://www.ncbi.nlm.nih.gov/books/NBK547546/</w:t>
      </w:r>
    </w:p>
    <w:p w14:paraId="66A076D0"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21. </w:t>
      </w:r>
      <w:r w:rsidRPr="008C17AC">
        <w:rPr>
          <w:rFonts w:ascii="Times New Roman" w:hAnsi="Times New Roman" w:cs="Times New Roman"/>
        </w:rPr>
        <w:tab/>
        <w:t>Alsheikh-Ali AA, Qureshi W, Al-Mallah MH, Ioannidis JPA. Public Availability of Published Research Data in High-Impact Journals. PLoS ONE. 2011;6: e24357. doi:10.1371/journal.pone.0024357</w:t>
      </w:r>
    </w:p>
    <w:p w14:paraId="34FAEA4C"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22. </w:t>
      </w:r>
      <w:r w:rsidRPr="008C17AC">
        <w:rPr>
          <w:rFonts w:ascii="Times New Roman" w:hAnsi="Times New Roman" w:cs="Times New Roman"/>
        </w:rPr>
        <w:tab/>
        <w:t>Stodden V. Assessing Reproducibility : An Astrophysical Example of Computational Uncertainty in the HPC Context. 2018. Available: https://www.semanticscholar.org/paper/c2321c16a12b0a71ab99214a054a60bd2655a505</w:t>
      </w:r>
    </w:p>
    <w:p w14:paraId="18FB2C32"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23. </w:t>
      </w:r>
      <w:r w:rsidRPr="008C17AC">
        <w:rPr>
          <w:rFonts w:ascii="Times New Roman" w:hAnsi="Times New Roman" w:cs="Times New Roman"/>
        </w:rPr>
        <w:tab/>
        <w:t>Athena RC, Directorate-General for Research and Innovation (European Commission), Know-Center, PPMI. Assessing the reproducibility of research results in EU Framework Programmes for Research: final report. Publications Office of the European Union; 2022. Available: https://data.europa.eu/doi/10.2777/186782</w:t>
      </w:r>
    </w:p>
    <w:p w14:paraId="76DB31AF"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24. </w:t>
      </w:r>
      <w:r w:rsidRPr="008C17AC">
        <w:rPr>
          <w:rFonts w:ascii="Times New Roman" w:hAnsi="Times New Roman" w:cs="Times New Roman"/>
        </w:rPr>
        <w:tab/>
        <w:t>Friesike S, Schildhauer T. Open Science: Many Good Resolutions, Very Few Incentives, Yet. In: Welpe IM, Wollersheim J, Ringelhan S, Osterloh M, editors. Incentives and Performance. Cham: Springer International Publishing; 2015. pp. 277–289. doi:10.1007/978-3-319-09785-5_17</w:t>
      </w:r>
    </w:p>
    <w:p w14:paraId="520DF744"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25. </w:t>
      </w:r>
      <w:r w:rsidRPr="008C17AC">
        <w:rPr>
          <w:rFonts w:ascii="Times New Roman" w:hAnsi="Times New Roman" w:cs="Times New Roman"/>
        </w:rPr>
        <w:tab/>
        <w:t>Leonelli S. Rethinking Reproducibility as a Criterion for Research Quality. Including a Symposium on Mary Morgan: Curiosity, Imagination, and Surprise. Emerald Publishing Limited; 2018. pp. 129–146. doi:10.1108/S0743-41542018000036B009</w:t>
      </w:r>
    </w:p>
    <w:p w14:paraId="7CD3CCBB"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26. </w:t>
      </w:r>
      <w:r w:rsidRPr="008C17AC">
        <w:rPr>
          <w:rFonts w:ascii="Times New Roman" w:hAnsi="Times New Roman" w:cs="Times New Roman"/>
        </w:rPr>
        <w:tab/>
        <w:t>Leonelli S. Open Science and Epistemic Diversity: Friends or Foes? Philos Sci. 2022;89: 991–1001. doi:10.1017/psa.2022.45</w:t>
      </w:r>
    </w:p>
    <w:p w14:paraId="64622AC0"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27. </w:t>
      </w:r>
      <w:r w:rsidRPr="008C17AC">
        <w:rPr>
          <w:rFonts w:ascii="Times New Roman" w:hAnsi="Times New Roman" w:cs="Times New Roman"/>
        </w:rPr>
        <w:tab/>
        <w:t>Ulpts S, Schneider JW. Knowledge Production Modes: The Relevance and Feasibility of ‘Reproducibility.’ OSF; 2023. doi:10.31222/osf.io/ujnd9</w:t>
      </w:r>
    </w:p>
    <w:p w14:paraId="250EFBAB"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28. </w:t>
      </w:r>
      <w:r w:rsidRPr="008C17AC">
        <w:rPr>
          <w:rFonts w:ascii="Times New Roman" w:hAnsi="Times New Roman" w:cs="Times New Roman"/>
        </w:rPr>
        <w:tab/>
        <w:t>Penders B, Holbrook JB, de Rijcke S. Rinse and Repeat: Understanding the Value of Replication across Different Ways of Knowing. Publications. 2019;7: 52. doi:10.3390/publications7030052</w:t>
      </w:r>
    </w:p>
    <w:p w14:paraId="4AD98286"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29. </w:t>
      </w:r>
      <w:r w:rsidRPr="008C17AC">
        <w:rPr>
          <w:rFonts w:ascii="Times New Roman" w:hAnsi="Times New Roman" w:cs="Times New Roman"/>
        </w:rPr>
        <w:tab/>
        <w:t>Peels R. Replicability and replication in the humanities. Res Integr Peer Rev. 2019;4: 2. doi:10.1186/s41073-018-0060-4</w:t>
      </w:r>
    </w:p>
    <w:p w14:paraId="15711963"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lastRenderedPageBreak/>
        <w:t xml:space="preserve">30. </w:t>
      </w:r>
      <w:r w:rsidRPr="008C17AC">
        <w:rPr>
          <w:rFonts w:ascii="Times New Roman" w:hAnsi="Times New Roman" w:cs="Times New Roman"/>
        </w:rPr>
        <w:tab/>
        <w:t>Peels R, Bouter L. Humanities need a replication drive too. Nature. 2018;558: 372–372. doi:10.1038/d41586-018-05454-w</w:t>
      </w:r>
    </w:p>
    <w:p w14:paraId="2EE7A21D"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31. </w:t>
      </w:r>
      <w:r w:rsidRPr="008C17AC">
        <w:rPr>
          <w:rFonts w:ascii="Times New Roman" w:hAnsi="Times New Roman" w:cs="Times New Roman"/>
        </w:rPr>
        <w:tab/>
        <w:t>Peels R, Bouter L. The possibility and desirability of replication in the humanities. Palgrave Commun. 2018;4: 1–4. doi:10.1057/s41599-018-0149-x</w:t>
      </w:r>
    </w:p>
    <w:p w14:paraId="07430064"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32. </w:t>
      </w:r>
      <w:r w:rsidRPr="008C17AC">
        <w:rPr>
          <w:rFonts w:ascii="Times New Roman" w:hAnsi="Times New Roman" w:cs="Times New Roman"/>
        </w:rPr>
        <w:tab/>
        <w:t>Makel MC, Meyer MS, Simonsen MA, Roberts AM, Plucker JA. Replication is relevant to qualitative research. Educ Res Eval. 2022 [cited 7 May 2024]. Available: https://www.tandfonline.com/doi/abs/10.1080/13803611.2021.2022310</w:t>
      </w:r>
    </w:p>
    <w:p w14:paraId="3072A53E"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33. </w:t>
      </w:r>
      <w:r w:rsidRPr="008C17AC">
        <w:rPr>
          <w:rFonts w:ascii="Times New Roman" w:hAnsi="Times New Roman" w:cs="Times New Roman"/>
        </w:rPr>
        <w:tab/>
        <w:t>de Rijcke S, Penders B. Resist calls for replicability in the humanities. Nature. 2018;560: 29–29. doi:10.1038/d41586-018-05845-z</w:t>
      </w:r>
    </w:p>
    <w:p w14:paraId="3939F5BE"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34. </w:t>
      </w:r>
      <w:r w:rsidRPr="008C17AC">
        <w:rPr>
          <w:rFonts w:ascii="Times New Roman" w:hAnsi="Times New Roman" w:cs="Times New Roman"/>
        </w:rPr>
        <w:tab/>
        <w:t>Tuval-Mashiach R. Is replication relevant for qualitative research? Qual Psychol. 2021;8: 365–377. doi:10.1037/qup0000217</w:t>
      </w:r>
    </w:p>
    <w:p w14:paraId="7F955907"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35. </w:t>
      </w:r>
      <w:r w:rsidRPr="008C17AC">
        <w:rPr>
          <w:rFonts w:ascii="Times New Roman" w:hAnsi="Times New Roman" w:cs="Times New Roman"/>
        </w:rPr>
        <w:tab/>
        <w:t>Pownall M. Is replication possible in qualitative research? A response to Makel et al. (2022). Educ Res Eval. 2024;29: 104–110. doi:10.1080/13803611.2024.2314526</w:t>
      </w:r>
    </w:p>
    <w:p w14:paraId="1F856E09"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36. </w:t>
      </w:r>
      <w:r w:rsidRPr="008C17AC">
        <w:rPr>
          <w:rFonts w:ascii="Times New Roman" w:hAnsi="Times New Roman" w:cs="Times New Roman"/>
        </w:rPr>
        <w:tab/>
        <w:t>The Registration of Observational Studies—When Metaphors Go Bad. Epidemiology. 2010;21: 607–609. doi:10.1097/EDE.0b013e3181eafbcf</w:t>
      </w:r>
    </w:p>
    <w:p w14:paraId="5CDB18EC"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37. </w:t>
      </w:r>
      <w:r w:rsidRPr="008C17AC">
        <w:rPr>
          <w:rFonts w:ascii="Times New Roman" w:hAnsi="Times New Roman" w:cs="Times New Roman"/>
        </w:rPr>
        <w:tab/>
        <w:t>Dal-Ré R, Ioannidis JP, Bracken MB, Buffler PA, Chan A-W, Franco EL, et al. Making Prospective Registration of Observational Research a Reality. Sci Transl Med. 2014;6: 224cm1-224cm1. doi:10.1126/scitranslmed.3007513</w:t>
      </w:r>
    </w:p>
    <w:p w14:paraId="5C5804C7"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38. </w:t>
      </w:r>
      <w:r w:rsidRPr="008C17AC">
        <w:rPr>
          <w:rFonts w:ascii="Times New Roman" w:hAnsi="Times New Roman" w:cs="Times New Roman"/>
        </w:rPr>
        <w:tab/>
        <w:t>Hansford H. The limited role of preregistration in observational studies. In: Harrison Hansford [Internet]. 4 Aug 2022 [cited 7 May 2024]. Available: https://harrisonhansford.home.blog/2022/08/04/the-limited-role-of-preregistration-in-observational-studies/</w:t>
      </w:r>
    </w:p>
    <w:p w14:paraId="37BC277A"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39. </w:t>
      </w:r>
      <w:r w:rsidRPr="008C17AC">
        <w:rPr>
          <w:rFonts w:ascii="Times New Roman" w:hAnsi="Times New Roman" w:cs="Times New Roman"/>
        </w:rPr>
        <w:tab/>
        <w:t>Coffman LC, Niederle M. Pre-analysis Plans Have Limited Upside, Especially Where Replications Are Feasible. J Econ Perspect. 2015;29: 81–98. doi:10.1257/jep.29.3.81</w:t>
      </w:r>
    </w:p>
    <w:p w14:paraId="48433D59" w14:textId="5800D4CD" w:rsidR="00943874" w:rsidRPr="008C17AC" w:rsidRDefault="583A6BD4" w:rsidP="00943874">
      <w:pPr>
        <w:pStyle w:val="Bibliografie"/>
        <w:rPr>
          <w:rFonts w:ascii="Times New Roman" w:hAnsi="Times New Roman" w:cs="Times New Roman"/>
        </w:rPr>
      </w:pPr>
      <w:r w:rsidRPr="008C17AC">
        <w:rPr>
          <w:rFonts w:ascii="Times New Roman" w:hAnsi="Times New Roman" w:cs="Times New Roman"/>
        </w:rPr>
        <w:t xml:space="preserve">40. </w:t>
      </w:r>
      <w:r w:rsidR="00943874" w:rsidRPr="008C17AC">
        <w:rPr>
          <w:rFonts w:ascii="Times New Roman" w:hAnsi="Times New Roman" w:cs="Times New Roman"/>
        </w:rPr>
        <w:tab/>
      </w:r>
      <w:r w:rsidRPr="008C17AC">
        <w:rPr>
          <w:rFonts w:ascii="Times New Roman" w:hAnsi="Times New Roman" w:cs="Times New Roman"/>
        </w:rPr>
        <w:t>Haven T, Van Grootel</w:t>
      </w:r>
      <w:r w:rsidR="169621DB" w:rsidRPr="008C17AC">
        <w:rPr>
          <w:rFonts w:ascii="Times New Roman" w:hAnsi="Times New Roman" w:cs="Times New Roman"/>
        </w:rPr>
        <w:t xml:space="preserve"> </w:t>
      </w:r>
      <w:r w:rsidRPr="008C17AC">
        <w:rPr>
          <w:rFonts w:ascii="Times New Roman" w:hAnsi="Times New Roman" w:cs="Times New Roman"/>
        </w:rPr>
        <w:t>L. Preregistering qualitative research. Account Res. 2019;26: 229–244. doi:10.1080/08989621.2019.1580147</w:t>
      </w:r>
    </w:p>
    <w:p w14:paraId="56956ADA"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41. </w:t>
      </w:r>
      <w:r w:rsidRPr="008C17AC">
        <w:rPr>
          <w:rFonts w:ascii="Times New Roman" w:hAnsi="Times New Roman" w:cs="Times New Roman"/>
        </w:rPr>
        <w:tab/>
        <w:t>Goodman A, Pepe A, Blocker AW, Borgman CL, Cranmer K, Crosas M, et al. Ten Simple Rules for the Care and Feeding of Scientific Data. Bourne PE, editor. PLoS Comput Biol. 2014;10: e1003542. doi:10.1371/journal.pcbi.1003542</w:t>
      </w:r>
    </w:p>
    <w:p w14:paraId="3D312023"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42. </w:t>
      </w:r>
      <w:r w:rsidRPr="008C17AC">
        <w:rPr>
          <w:rFonts w:ascii="Times New Roman" w:hAnsi="Times New Roman" w:cs="Times New Roman"/>
        </w:rPr>
        <w:tab/>
        <w:t xml:space="preserve">Ayris P, Lopez de San Román A, Maes K, Labastida I. Open science and its role in universities: A roadmap for cultural change. Leuven LERU Off Retrieved Dec. 2018;13: 2019. </w:t>
      </w:r>
    </w:p>
    <w:p w14:paraId="20AAAA9F"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43. </w:t>
      </w:r>
      <w:r w:rsidRPr="008C17AC">
        <w:rPr>
          <w:rFonts w:ascii="Times New Roman" w:hAnsi="Times New Roman" w:cs="Times New Roman"/>
        </w:rPr>
        <w:tab/>
        <w:t>Hernández JA, Colom M. Repeatability, Reproducibility, Replicability, Reusability (4R) in Journals’ Policies and Software/Data Management in Scientific Publications: A Survey, Discussion, and Perspectives. arXiv; 2023. doi:10.48550/arXiv.2312.11028</w:t>
      </w:r>
    </w:p>
    <w:p w14:paraId="4E604950"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44. </w:t>
      </w:r>
      <w:r w:rsidRPr="008C17AC">
        <w:rPr>
          <w:rFonts w:ascii="Times New Roman" w:hAnsi="Times New Roman" w:cs="Times New Roman"/>
        </w:rPr>
        <w:tab/>
        <w:t>Suls J, Rothman AJ, Davidson KW. Now is the time to assess the effects of open science practiceswith randomized control trials. Am Psychol. 2022;77: 467–475. doi:10.1037/amp0000871</w:t>
      </w:r>
    </w:p>
    <w:p w14:paraId="5EE95AB3" w14:textId="77777777" w:rsidR="00943874" w:rsidRPr="008C17AC" w:rsidRDefault="00943874" w:rsidP="00943874">
      <w:pPr>
        <w:pStyle w:val="Bibliografie"/>
        <w:rPr>
          <w:rFonts w:ascii="Times New Roman" w:hAnsi="Times New Roman" w:cs="Times New Roman"/>
          <w:lang w:val="nl-NL"/>
        </w:rPr>
      </w:pPr>
      <w:r w:rsidRPr="008C17AC">
        <w:rPr>
          <w:rFonts w:ascii="Times New Roman" w:hAnsi="Times New Roman" w:cs="Times New Roman"/>
        </w:rPr>
        <w:t xml:space="preserve">45. </w:t>
      </w:r>
      <w:r w:rsidRPr="008C17AC">
        <w:rPr>
          <w:rFonts w:ascii="Times New Roman" w:hAnsi="Times New Roman" w:cs="Times New Roman"/>
        </w:rPr>
        <w:tab/>
        <w:t xml:space="preserve">Dudda LA, Kozula M, Ross-Hellauer T, Kormann E, Spijker R, DeVito N, et al. Scoping review and evidence mapping of interventions aimed at improving reproducible and replicable science: Protocol. </w:t>
      </w:r>
      <w:r w:rsidRPr="008C17AC">
        <w:rPr>
          <w:rFonts w:ascii="Times New Roman" w:hAnsi="Times New Roman" w:cs="Times New Roman"/>
          <w:lang w:val="nl-NL"/>
        </w:rPr>
        <w:t>Open Res Eur. 2023;3: 179. doi:10.12688/openreseurope.16567.1</w:t>
      </w:r>
    </w:p>
    <w:p w14:paraId="394980A9"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lang w:val="nl-NL"/>
        </w:rPr>
        <w:lastRenderedPageBreak/>
        <w:t xml:space="preserve">46. </w:t>
      </w:r>
      <w:r w:rsidRPr="008C17AC">
        <w:rPr>
          <w:rFonts w:ascii="Times New Roman" w:hAnsi="Times New Roman" w:cs="Times New Roman"/>
          <w:lang w:val="nl-NL"/>
        </w:rPr>
        <w:tab/>
        <w:t xml:space="preserve">Tricco AC, Lillie E, Zarin W, O’Brien KK, Colquhoun H, Levac D, et al. </w:t>
      </w:r>
      <w:r w:rsidRPr="008C17AC">
        <w:rPr>
          <w:rFonts w:ascii="Times New Roman" w:hAnsi="Times New Roman" w:cs="Times New Roman"/>
        </w:rPr>
        <w:t>PRISMA Extension for Scoping Reviews (PRISMA-ScR): Checklist and Explanation. Ann Intern Med. 2018;169: 467–473. doi:10.7326/M18-0850</w:t>
      </w:r>
    </w:p>
    <w:p w14:paraId="53D9A1FE"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47. </w:t>
      </w:r>
      <w:r w:rsidRPr="008C17AC">
        <w:rPr>
          <w:rFonts w:ascii="Times New Roman" w:hAnsi="Times New Roman" w:cs="Times New Roman"/>
        </w:rPr>
        <w:tab/>
        <w:t>Directorate-General for Research and Innovation (European Commission), Baker L, Cristea IA, Errington TM, Jaśko K, Lusoli W, et al. Reproducibility of scientific results in the EU: scoping report. Publications Office of the European Union; 2020. Available: https://data.europa.eu/doi/10.2777/341654</w:t>
      </w:r>
    </w:p>
    <w:p w14:paraId="5F287BDE"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48. </w:t>
      </w:r>
      <w:r w:rsidRPr="008C17AC">
        <w:rPr>
          <w:rFonts w:ascii="Times New Roman" w:hAnsi="Times New Roman" w:cs="Times New Roman"/>
        </w:rPr>
        <w:tab/>
        <w:t>Agha R A, Borrelli M R, Farwana R, Kusu-Orkar T, Millip M C, Thavayogan R, et al. Impact of the PROCESS guideline on the reporting of surgical case series: A before and after study. Int J Surg. 2017;45: 92–97. doi:10.1016/j.ijsu.2017.07.079</w:t>
      </w:r>
    </w:p>
    <w:p w14:paraId="2F24D163"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49. </w:t>
      </w:r>
      <w:r w:rsidRPr="008C17AC">
        <w:rPr>
          <w:rFonts w:ascii="Times New Roman" w:hAnsi="Times New Roman" w:cs="Times New Roman"/>
        </w:rPr>
        <w:tab/>
        <w:t>Agha R A, Fowler A J, Limb C, Whitehurst K, Coe R, Sagoo H, et al. Impact of the mandatory implementation of reporting guidelines on reporting quality in a surgical journal: A before and after study. Int J Surg. 2016;30: 169–172. doi:10.1016/j.ijsu.2016.04.032</w:t>
      </w:r>
    </w:p>
    <w:p w14:paraId="32817F5C" w14:textId="77777777" w:rsidR="00943874" w:rsidRPr="008C17AC" w:rsidRDefault="00943874" w:rsidP="00943874">
      <w:pPr>
        <w:pStyle w:val="Bibliografie"/>
        <w:rPr>
          <w:rFonts w:ascii="Times New Roman" w:hAnsi="Times New Roman" w:cs="Times New Roman"/>
          <w:lang w:val="nl-NL"/>
        </w:rPr>
      </w:pPr>
      <w:r w:rsidRPr="008C17AC">
        <w:rPr>
          <w:rFonts w:ascii="Times New Roman" w:hAnsi="Times New Roman" w:cs="Times New Roman"/>
        </w:rPr>
        <w:t xml:space="preserve">50. </w:t>
      </w:r>
      <w:r w:rsidRPr="008C17AC">
        <w:rPr>
          <w:rFonts w:ascii="Times New Roman" w:hAnsi="Times New Roman" w:cs="Times New Roman"/>
        </w:rPr>
        <w:tab/>
        <w:t xml:space="preserve">Alsheikh-Ali A A, Qureshi W, Al-Mallah M H, Ioannidis J P. Public availability of published research data in high-impact journals. </w:t>
      </w:r>
      <w:r w:rsidRPr="008C17AC">
        <w:rPr>
          <w:rFonts w:ascii="Times New Roman" w:hAnsi="Times New Roman" w:cs="Times New Roman"/>
          <w:lang w:val="nl-NL"/>
        </w:rPr>
        <w:t xml:space="preserve">2011;1: e24357. </w:t>
      </w:r>
    </w:p>
    <w:p w14:paraId="2CFFAF56"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lang w:val="nl-NL"/>
        </w:rPr>
        <w:t xml:space="preserve">51. </w:t>
      </w:r>
      <w:r w:rsidRPr="008C17AC">
        <w:rPr>
          <w:rFonts w:ascii="Times New Roman" w:hAnsi="Times New Roman" w:cs="Times New Roman"/>
          <w:lang w:val="nl-NL"/>
        </w:rPr>
        <w:tab/>
        <w:t xml:space="preserve">Arroyo-Araujo M, Graf R, Maco M, van Dam E, Schenker E, Drinkenburg W, et al. </w:t>
      </w:r>
      <w:r w:rsidRPr="008C17AC">
        <w:rPr>
          <w:rFonts w:ascii="Times New Roman" w:hAnsi="Times New Roman" w:cs="Times New Roman"/>
        </w:rPr>
        <w:t>Reproducibility via coordinated standardization: a multi-center study in a Shank2 genetic rat model for Autism Spectrum Disorders. Sci Rep. 2019;9: 11602. doi:10.1038/s41598-019-47981-0</w:t>
      </w:r>
    </w:p>
    <w:p w14:paraId="67F63195"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52. </w:t>
      </w:r>
      <w:r w:rsidRPr="008C17AC">
        <w:rPr>
          <w:rFonts w:ascii="Times New Roman" w:hAnsi="Times New Roman" w:cs="Times New Roman"/>
        </w:rPr>
        <w:tab/>
        <w:t>Askarov Z, Doucouliagos A, Doucouliagos H, Stanley T D. The Significance of Data-Sharing Policy. J Eur Econ Assoc. 2022. doi:10.1093/jeea/jvac053</w:t>
      </w:r>
    </w:p>
    <w:p w14:paraId="6AD91BEF"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53. </w:t>
      </w:r>
      <w:r w:rsidRPr="008C17AC">
        <w:rPr>
          <w:rFonts w:ascii="Times New Roman" w:hAnsi="Times New Roman" w:cs="Times New Roman"/>
        </w:rPr>
        <w:tab/>
        <w:t>Audet S, Doyle C, Lemieux C, Lemieux J. Examining the adherence to CONSORT guidelines and the reporting of the enrollment process in clinical oncology randomized controlled trials: A review of trials published between 2013 and 2015. J Clin Oncol. 2017;35. doi:10.1200/jco.2017.35.15_suppl.e14026</w:t>
      </w:r>
    </w:p>
    <w:p w14:paraId="261194DD"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54. </w:t>
      </w:r>
      <w:r w:rsidRPr="008C17AC">
        <w:rPr>
          <w:rFonts w:ascii="Times New Roman" w:hAnsi="Times New Roman" w:cs="Times New Roman"/>
        </w:rPr>
        <w:tab/>
        <w:t>Auspurg K, Recker J. More openness in research? An evaluation of open science measures at the Journal of Sociology. Z Soziol. 2020;49: 1–9. doi:10.1515/zfsoz-2020-0001</w:t>
      </w:r>
    </w:p>
    <w:p w14:paraId="0B88B1A3"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55. </w:t>
      </w:r>
      <w:r w:rsidRPr="008C17AC">
        <w:rPr>
          <w:rFonts w:ascii="Times New Roman" w:hAnsi="Times New Roman" w:cs="Times New Roman"/>
        </w:rPr>
        <w:tab/>
        <w:t>Barnes C, Boutron I, Giraudeau B, Porcher R, Altman DG, Ravaud P. Impact of an online writing aid tool for writing a randomized trial report: the COBWEB (Consort-based WEB tool) randomized controlled trial. BMC Med. 2015;13: 221. doi:10.1186/s12916-015-0460-y</w:t>
      </w:r>
    </w:p>
    <w:p w14:paraId="16137B68"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56. </w:t>
      </w:r>
      <w:r w:rsidRPr="008C17AC">
        <w:rPr>
          <w:rFonts w:ascii="Times New Roman" w:hAnsi="Times New Roman" w:cs="Times New Roman"/>
        </w:rPr>
        <w:tab/>
        <w:t>Bergeat D, Lombard N, Gasmi A, Le Floch B, Naudet F. Data Sharing and Reanalyses Among Randomized Clinical Trials Published in Surgical Journals Before and After Adoption of a Data Availability and Reproducibility Policy. JAMA Netw Open. 2022;5: e2215209. doi:10.1001/jamanetworkopen.2022.15209</w:t>
      </w:r>
    </w:p>
    <w:p w14:paraId="0471F94F"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57. </w:t>
      </w:r>
      <w:r w:rsidRPr="008C17AC">
        <w:rPr>
          <w:rFonts w:ascii="Times New Roman" w:hAnsi="Times New Roman" w:cs="Times New Roman"/>
        </w:rPr>
        <w:tab/>
        <w:t>Blanco David, Schroter Sara, Aldcroft Adrian, Moher David, Boutron Isabelle, Kirkham Jamie J, et al. Effect of an editorial intervention to improve the completeness of reporting of randomised trials: a randomised controlled trial. BMJ Open. 2020;10: e036799. doi:10.1136/bmjopen-2020-036799</w:t>
      </w:r>
    </w:p>
    <w:p w14:paraId="23760BD7"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58. </w:t>
      </w:r>
      <w:r w:rsidRPr="008C17AC">
        <w:rPr>
          <w:rFonts w:ascii="Times New Roman" w:hAnsi="Times New Roman" w:cs="Times New Roman"/>
        </w:rPr>
        <w:tab/>
        <w:t>Blanco-Perez C, Brodeur A. Publication Bias and Editorial Statement on Negative Findings. Econ J. 2020;130: 1226–1247. doi:10.1093/ej/ueaa011</w:t>
      </w:r>
    </w:p>
    <w:p w14:paraId="02B0FD2B"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59. </w:t>
      </w:r>
      <w:r w:rsidRPr="008C17AC">
        <w:rPr>
          <w:rFonts w:ascii="Times New Roman" w:hAnsi="Times New Roman" w:cs="Times New Roman"/>
        </w:rPr>
        <w:tab/>
        <w:t xml:space="preserve">Can O S, Yilmaz A A, Hasdogan M, Alkaya F, Turhan S C, Can M F, et al. Has the quality of abstracts for randomised controlled trials improved since the release of Consolidated Standards </w:t>
      </w:r>
      <w:r w:rsidRPr="008C17AC">
        <w:rPr>
          <w:rFonts w:ascii="Times New Roman" w:hAnsi="Times New Roman" w:cs="Times New Roman"/>
        </w:rPr>
        <w:lastRenderedPageBreak/>
        <w:t>of Reporting Trial guideline for abstract reporting? A survey of four high-profile anaesthesia journals. Eur J Anaesthesiol. 2011;28(7): 485–492. doi:10.1097/eja.0b013e32833fb96f</w:t>
      </w:r>
    </w:p>
    <w:p w14:paraId="5AED07BA"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60. </w:t>
      </w:r>
      <w:r w:rsidRPr="008C17AC">
        <w:rPr>
          <w:rFonts w:ascii="Times New Roman" w:hAnsi="Times New Roman" w:cs="Times New Roman"/>
        </w:rPr>
        <w:tab/>
        <w:t>Caron J E, March J K, Cohen M B, Schmidt R L. A Survey of the Prevalence and Impact of Reporting Guideline Endorsement in Pathology Journals. Am J Clin Pathol. 2017;148: 314–322. doi:10.1093/ajcp/aqx080</w:t>
      </w:r>
    </w:p>
    <w:p w14:paraId="524E51C0"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61. </w:t>
      </w:r>
      <w:r w:rsidRPr="008C17AC">
        <w:rPr>
          <w:rFonts w:ascii="Times New Roman" w:hAnsi="Times New Roman" w:cs="Times New Roman"/>
        </w:rPr>
        <w:tab/>
        <w:t>Chan C H, Schoch D. rang: Reconstructing reproducible R computational environments. PLoS ONE Electron Resour. 2023;18: e0286761. doi:10.1371/journal.pone.0286761</w:t>
      </w:r>
    </w:p>
    <w:p w14:paraId="21A301CD"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62. </w:t>
      </w:r>
      <w:r w:rsidRPr="008C17AC">
        <w:rPr>
          <w:rFonts w:ascii="Times New Roman" w:hAnsi="Times New Roman" w:cs="Times New Roman"/>
        </w:rPr>
        <w:tab/>
        <w:t>Chow J T. Y, Turkstra T P, Yim E, Jones P M. The degree of adherence to CONSORT reporting guidelines for the abstracts of randomised clinical trials published in anaesthesia journals: A cross-sectional study of reporting adherence in 2010 and 2016. Eur J Anaesthesiol. 2018; 942–948. doi:10.1097/eja.0000000000000880</w:t>
      </w:r>
    </w:p>
    <w:p w14:paraId="0588E127"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63. </w:t>
      </w:r>
      <w:r w:rsidRPr="008C17AC">
        <w:rPr>
          <w:rFonts w:ascii="Times New Roman" w:hAnsi="Times New Roman" w:cs="Times New Roman"/>
        </w:rPr>
        <w:tab/>
        <w:t>Clayson P E, Carbine K A, Baldwin S A, Larson M J. Methodological reporting behavior, sample sizes, and statistical power in studies of event-related potentials: Barriers to reproducibility and replicability. Psychophysiology. 2019;56: e13437. doi:10.1111/psyp.13437</w:t>
      </w:r>
    </w:p>
    <w:p w14:paraId="6F325A2D"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64. </w:t>
      </w:r>
      <w:r w:rsidRPr="008C17AC">
        <w:rPr>
          <w:rFonts w:ascii="Times New Roman" w:hAnsi="Times New Roman" w:cs="Times New Roman"/>
        </w:rPr>
        <w:tab/>
        <w:t xml:space="preserve">Cobo E, Cortes J, Ribera J M, Cardellach F, Selva-O’Callaghan A, Kostov B, et al. Effect of using reporting guidelines during peer review on quality of final manuscripts submitted to a biomedical journal: masked randomised trial. 2011;1: d6783. </w:t>
      </w:r>
    </w:p>
    <w:p w14:paraId="79BA5559"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65. </w:t>
      </w:r>
      <w:r w:rsidRPr="008C17AC">
        <w:rPr>
          <w:rFonts w:ascii="Times New Roman" w:hAnsi="Times New Roman" w:cs="Times New Roman"/>
        </w:rPr>
        <w:tab/>
        <w:t>Crüwell S, Apthorp D, Baker B J, Colling L, Elson M, Geiger S J, et al. What’s in a Badge? A Computational Reproducibility Investigation of the Open Data Badge Policy in One Issue of Psychological Science. Psychol Sci. 2023;34: 512–522. doi:10.1177/09567976221140828</w:t>
      </w:r>
    </w:p>
    <w:p w14:paraId="7C6931D6"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66. </w:t>
      </w:r>
      <w:r w:rsidRPr="008C17AC">
        <w:rPr>
          <w:rFonts w:ascii="Times New Roman" w:hAnsi="Times New Roman" w:cs="Times New Roman"/>
        </w:rPr>
        <w:tab/>
        <w:t>Culina A, van den Berg I, Evans S, Sanchez-Tojar A. Low availability of code in ecology: A call for urgent action. Plos Biol. 2020;18: e3000763. doi:10.1371/journal.pbio.3000763</w:t>
      </w:r>
    </w:p>
    <w:p w14:paraId="6AA9DE58"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67. </w:t>
      </w:r>
      <w:r w:rsidRPr="008C17AC">
        <w:rPr>
          <w:rFonts w:ascii="Times New Roman" w:hAnsi="Times New Roman" w:cs="Times New Roman"/>
        </w:rPr>
        <w:tab/>
        <w:t>Danchev V, Min Y, Borghi J, Baiocchi M, Ioannidis J P. A. Evaluation of Data Sharing After Implementation of the International Committee of Medical Journal Editors Data Sharing Statement Requirement. JAMA Netw Open. 2021;4: e2033972. doi:10.1001/jamanetworkopen.2020.33972</w:t>
      </w:r>
    </w:p>
    <w:p w14:paraId="11C3BCB3"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68. </w:t>
      </w:r>
      <w:r w:rsidRPr="008C17AC">
        <w:rPr>
          <w:rFonts w:ascii="Times New Roman" w:hAnsi="Times New Roman" w:cs="Times New Roman"/>
        </w:rPr>
        <w:tab/>
        <w:t>Deardorff A. Assessing the impact of introductory programming workshops on the computational reproducibility of biomedical workflows. PLoS ONE Electron Resour. 2020;15: e0230697. doi:10.1371/journal.pone.0230697</w:t>
      </w:r>
    </w:p>
    <w:p w14:paraId="1D2AD3A1"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69. </w:t>
      </w:r>
      <w:r w:rsidRPr="008C17AC">
        <w:rPr>
          <w:rFonts w:ascii="Times New Roman" w:hAnsi="Times New Roman" w:cs="Times New Roman"/>
        </w:rPr>
        <w:tab/>
        <w:t>Federer L M, Belter C W, Joubert D J, Livinski A, Lu Y L, Snyders L N, et al. Data sharing in PLOS ONE: An analysis of Data Availability Statements. PLoS ONE Electron Resour. 2018;13: e0194768. doi:10.1371/journal.pone.0194768</w:t>
      </w:r>
    </w:p>
    <w:p w14:paraId="0F058E99"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70. </w:t>
      </w:r>
      <w:r w:rsidRPr="008C17AC">
        <w:rPr>
          <w:rFonts w:ascii="Times New Roman" w:hAnsi="Times New Roman" w:cs="Times New Roman"/>
        </w:rPr>
        <w:tab/>
        <w:t>Fernandes J G, Franco N H, Grierson A J, Hultgren J, Furley A J. W, Olsson I A. S. Methodological standards, quality of reporting and regulatory compliance in animal research on amyotrophic lateral sclerosis: a systematic review. BMJ Open Sci. 2019;3: e000016. doi:10.1136/bmjos-2018-000016</w:t>
      </w:r>
    </w:p>
    <w:p w14:paraId="633C4584"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71. </w:t>
      </w:r>
      <w:r w:rsidRPr="008C17AC">
        <w:rPr>
          <w:rFonts w:ascii="Times New Roman" w:hAnsi="Times New Roman" w:cs="Times New Roman"/>
        </w:rPr>
        <w:tab/>
        <w:t>Findley M G, Jensen N M, Malesky E J, Pepinsky T B. Can Results-Free Review Reduce Publication Bias? The Results and Implications of a Pilot Study. Comp Polit Stud. 2016;49: 1667–1703. doi:10.1177/0010414016655539</w:t>
      </w:r>
    </w:p>
    <w:p w14:paraId="1A43D32A"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72. </w:t>
      </w:r>
      <w:r w:rsidRPr="008C17AC">
        <w:rPr>
          <w:rFonts w:ascii="Times New Roman" w:hAnsi="Times New Roman" w:cs="Times New Roman"/>
        </w:rPr>
        <w:tab/>
        <w:t>Fuller T, Peters J, Pearson M, Anderson R. Impact of the transparent reporting of evaluations with nonrandomized designs reporting guideline: Ten years on. Am J Public Health. 2014;104: e110–e117. doi:10.2105/ajph.2014.302195</w:t>
      </w:r>
    </w:p>
    <w:p w14:paraId="3708AF8D" w14:textId="42F1184F" w:rsidR="00943874" w:rsidRPr="008C17AC" w:rsidRDefault="583A6BD4" w:rsidP="00943874">
      <w:pPr>
        <w:pStyle w:val="Bibliografie"/>
        <w:rPr>
          <w:rFonts w:ascii="Times New Roman" w:hAnsi="Times New Roman" w:cs="Times New Roman"/>
        </w:rPr>
      </w:pPr>
      <w:r w:rsidRPr="008C17AC">
        <w:rPr>
          <w:rFonts w:ascii="Times New Roman" w:hAnsi="Times New Roman" w:cs="Times New Roman"/>
        </w:rPr>
        <w:lastRenderedPageBreak/>
        <w:t xml:space="preserve">73. </w:t>
      </w:r>
      <w:r w:rsidR="00943874" w:rsidRPr="008C17AC">
        <w:rPr>
          <w:rFonts w:ascii="Times New Roman" w:hAnsi="Times New Roman" w:cs="Times New Roman"/>
        </w:rPr>
        <w:tab/>
      </w:r>
      <w:r w:rsidRPr="008C17AC">
        <w:rPr>
          <w:rFonts w:ascii="Times New Roman" w:hAnsi="Times New Roman" w:cs="Times New Roman"/>
        </w:rPr>
        <w:t>Giofr</w:t>
      </w:r>
      <w:r w:rsidR="17E0ABC9" w:rsidRPr="008C17AC">
        <w:rPr>
          <w:rFonts w:ascii="Times New Roman" w:hAnsi="Times New Roman" w:cs="Times New Roman"/>
        </w:rPr>
        <w:t>è</w:t>
      </w:r>
      <w:r w:rsidRPr="008C17AC">
        <w:rPr>
          <w:rFonts w:ascii="Times New Roman" w:hAnsi="Times New Roman" w:cs="Times New Roman"/>
        </w:rPr>
        <w:t xml:space="preserve"> D, Boedker I, Cumming G, Rivella C, Tressoldi P. The influence of journal submission guidelines on authors’ reporting of statistics and use of open research practices: Five years later. Behav Res Methods. 2022;17: 17. doi:10.3758/s13428-022-01993-3</w:t>
      </w:r>
    </w:p>
    <w:p w14:paraId="63437E06" w14:textId="23621477" w:rsidR="00943874" w:rsidRPr="008C17AC" w:rsidRDefault="583A6BD4" w:rsidP="00943874">
      <w:pPr>
        <w:pStyle w:val="Bibliografie"/>
        <w:rPr>
          <w:rFonts w:ascii="Times New Roman" w:hAnsi="Times New Roman" w:cs="Times New Roman"/>
        </w:rPr>
      </w:pPr>
      <w:r w:rsidRPr="008C17AC">
        <w:rPr>
          <w:rFonts w:ascii="Times New Roman" w:hAnsi="Times New Roman" w:cs="Times New Roman"/>
        </w:rPr>
        <w:t xml:space="preserve">74. </w:t>
      </w:r>
      <w:r w:rsidR="00943874" w:rsidRPr="008C17AC">
        <w:rPr>
          <w:rFonts w:ascii="Times New Roman" w:hAnsi="Times New Roman" w:cs="Times New Roman"/>
        </w:rPr>
        <w:tab/>
      </w:r>
      <w:r w:rsidRPr="008C17AC">
        <w:rPr>
          <w:rFonts w:ascii="Times New Roman" w:hAnsi="Times New Roman" w:cs="Times New Roman"/>
        </w:rPr>
        <w:t>Giofr</w:t>
      </w:r>
      <w:r w:rsidR="05F1138E" w:rsidRPr="008C17AC">
        <w:rPr>
          <w:rFonts w:ascii="Times New Roman" w:hAnsi="Times New Roman" w:cs="Times New Roman"/>
        </w:rPr>
        <w:t>è</w:t>
      </w:r>
      <w:r w:rsidRPr="008C17AC">
        <w:rPr>
          <w:rFonts w:ascii="Times New Roman" w:hAnsi="Times New Roman" w:cs="Times New Roman"/>
        </w:rPr>
        <w:t xml:space="preserve"> D, Cumming G, Fresc L, Boedker I, Tressoldi P. The influence of journal submission guidelines on authors’ reporting of statistics and use of open research practices. PLoS ONE Electron Resour. 2017;12: e0175583. doi:10.1371/journal.pone.0175583</w:t>
      </w:r>
    </w:p>
    <w:p w14:paraId="2F46A929"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75. </w:t>
      </w:r>
      <w:r w:rsidRPr="008C17AC">
        <w:rPr>
          <w:rFonts w:ascii="Times New Roman" w:hAnsi="Times New Roman" w:cs="Times New Roman"/>
        </w:rPr>
        <w:tab/>
        <w:t>Gkiouras K, Choleva M E, Verrou A, Goulis D G, Bogdanos D P, Grammatikopoulou M G. A Meta-Epidemiological Study of Positive Results in Clinical Nutrition Research: The Good, the Bad and the Ugly of Statistically Significant Findings. Nutrients. 2022;14: 04. doi:10.3390/nu14235164</w:t>
      </w:r>
    </w:p>
    <w:p w14:paraId="44D462D6"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76. </w:t>
      </w:r>
      <w:r w:rsidRPr="008C17AC">
        <w:rPr>
          <w:rFonts w:ascii="Times New Roman" w:hAnsi="Times New Roman" w:cs="Times New Roman"/>
        </w:rPr>
        <w:tab/>
        <w:t>Goldacre B, Drysdale H, Dale A, Milosevic I, Slade E, Hartley P, et al. COMPare: a prospective cohort study correcting and monitoring 58 misreported trials in real time. Trials Electron Resour. 2019;20: 118. doi:10.1186/s13063-019-3173-2</w:t>
      </w:r>
    </w:p>
    <w:p w14:paraId="22E07686"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77. </w:t>
      </w:r>
      <w:r w:rsidRPr="008C17AC">
        <w:rPr>
          <w:rFonts w:ascii="Times New Roman" w:hAnsi="Times New Roman" w:cs="Times New Roman"/>
        </w:rPr>
        <w:tab/>
        <w:t>Gorman D M. Availability of Research Data in High-Impact Addiction Journals with Data Sharing Policies. Sci Eng Ethics. 2020;26: 1625–1632. doi:10.1007/s11948-020-00203-7</w:t>
      </w:r>
    </w:p>
    <w:p w14:paraId="182FB0CC"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78. </w:t>
      </w:r>
      <w:r w:rsidRPr="008C17AC">
        <w:rPr>
          <w:rFonts w:ascii="Times New Roman" w:hAnsi="Times New Roman" w:cs="Times New Roman"/>
        </w:rPr>
        <w:tab/>
        <w:t>Gregori J, Villarreal L, Sanchez A, Baselga J, Villanueva J. An effect size filter improves the reproducibility in spectral counting-based comparative proteomics. J Proteomics. 2013;95: 55–65. doi:10.1016/j.jprot.2013.05.030</w:t>
      </w:r>
    </w:p>
    <w:p w14:paraId="789E4BD6"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79. </w:t>
      </w:r>
      <w:r w:rsidRPr="008C17AC">
        <w:rPr>
          <w:rFonts w:ascii="Times New Roman" w:hAnsi="Times New Roman" w:cs="Times New Roman"/>
        </w:rPr>
        <w:tab/>
        <w:t xml:space="preserve">Gruber S, Tchetgen Tchetgen, E. Limitations of empirical calibration of p-values using observational data. 2016;1: 3869–3882. </w:t>
      </w:r>
    </w:p>
    <w:p w14:paraId="6BD046C0"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80. </w:t>
      </w:r>
      <w:r w:rsidRPr="008C17AC">
        <w:rPr>
          <w:rFonts w:ascii="Times New Roman" w:hAnsi="Times New Roman" w:cs="Times New Roman"/>
        </w:rPr>
        <w:tab/>
        <w:t>Hamilton D G, Hong K, Fraser H, Rowhani-Farid A, Fidler F, Page M J. Prevalence and predictors of data and code sharing in the medical and health sciences: systematic review with meta-analysis of individual participant data. BMJ. 2023;382: e075767. doi:10.1136/bmj-2023-075767</w:t>
      </w:r>
    </w:p>
    <w:p w14:paraId="30373740"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81. </w:t>
      </w:r>
      <w:r w:rsidRPr="008C17AC">
        <w:rPr>
          <w:rFonts w:ascii="Times New Roman" w:hAnsi="Times New Roman" w:cs="Times New Roman"/>
        </w:rPr>
        <w:tab/>
        <w:t>Hamilton D G, Page M J, Finch S, Everitt S, Fidler F. How often do cancer researchers make their data and code available and what factors are associated with sharing? BMC Med. 2022;20: 438. doi:10.1186/s12916-022-02644-2</w:t>
      </w:r>
    </w:p>
    <w:p w14:paraId="514F63B2"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82. </w:t>
      </w:r>
      <w:r w:rsidRPr="008C17AC">
        <w:rPr>
          <w:rFonts w:ascii="Times New Roman" w:hAnsi="Times New Roman" w:cs="Times New Roman"/>
        </w:rPr>
        <w:tab/>
        <w:t>Hardt J L. S, Metzendorf M I, Meerpohl J J. Surgical trials and trial registers: A cross-sectional study of randomized controlled trials published in journals requiring trial registration in the author instructions. Trials. 2013;14: 407. doi:10.1186/1745-6215-14-407</w:t>
      </w:r>
    </w:p>
    <w:p w14:paraId="6DB08E82"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83. </w:t>
      </w:r>
      <w:r w:rsidRPr="008C17AC">
        <w:rPr>
          <w:rFonts w:ascii="Times New Roman" w:hAnsi="Times New Roman" w:cs="Times New Roman"/>
        </w:rPr>
        <w:tab/>
        <w:t>Hardwicke T E, Bohn M, MacDonald K, Hembacher E, Nuijten M B, Peloquin B N, et al. Analytic reproducibility in articles receiving open data badges at the journal Psychological Science: an observational study. R Soc Open Sci. 2021;8: 201494. doi:10.1098/rsos.201494</w:t>
      </w:r>
    </w:p>
    <w:p w14:paraId="2958122E"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84. </w:t>
      </w:r>
      <w:r w:rsidRPr="008C17AC">
        <w:rPr>
          <w:rFonts w:ascii="Times New Roman" w:hAnsi="Times New Roman" w:cs="Times New Roman"/>
        </w:rPr>
        <w:tab/>
        <w:t>Hardwicke T E, Mathur M B, MacDonald K, Nilsonne G, Banks G C, Kidwell M C, et al. Data availability, reusability, and analytic reproducibility: evaluating the impact of a mandatory open data policy at the journal Cognition. R Soc Open Sci. 2018;5: 180448. doi:10.1098/rsos.180448</w:t>
      </w:r>
    </w:p>
    <w:p w14:paraId="32BE396A"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85. </w:t>
      </w:r>
      <w:r w:rsidRPr="008C17AC">
        <w:rPr>
          <w:rFonts w:ascii="Times New Roman" w:hAnsi="Times New Roman" w:cs="Times New Roman"/>
        </w:rPr>
        <w:tab/>
        <w:t>Haven T L, Abunijela S, Hildebrand N. Biomedical supervisors’ role modeling of open science practices. eLife. 2023;12: 22. doi:10.7554/elife.83484</w:t>
      </w:r>
    </w:p>
    <w:p w14:paraId="46AD7505"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86. </w:t>
      </w:r>
      <w:r w:rsidRPr="008C17AC">
        <w:rPr>
          <w:rFonts w:ascii="Times New Roman" w:hAnsi="Times New Roman" w:cs="Times New Roman"/>
        </w:rPr>
        <w:tab/>
        <w:t>Hopewell S, Ravaud P, Baron G, Boutron I. Effect of editors’ implementation of CONSORT guidelines on the reporting of abstracts in high impact medical journals: Interrupted time series analysis. BMJ Online. 2012;345(7864) (no pagination): e4178. doi:10.1136/bmj.e4178</w:t>
      </w:r>
    </w:p>
    <w:p w14:paraId="076F0EAC"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lastRenderedPageBreak/>
        <w:t xml:space="preserve">87. </w:t>
      </w:r>
      <w:r w:rsidRPr="008C17AC">
        <w:rPr>
          <w:rFonts w:ascii="Times New Roman" w:hAnsi="Times New Roman" w:cs="Times New Roman"/>
        </w:rPr>
        <w:tab/>
        <w:t>Hopewell Sally, Boutron Isabelle, Altman Douglas G, Barbour Ginny, Moher David, Montori Victor, et al. Impact of a web-based tool (WebCONSORT) to improve the reporting of randomised trials: results of a randomised controlled trial. BMC Med. 2016;14: 199. doi:10.1186/s12916-016-0736-x</w:t>
      </w:r>
    </w:p>
    <w:p w14:paraId="4A928565"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88. </w:t>
      </w:r>
      <w:r w:rsidRPr="008C17AC">
        <w:rPr>
          <w:rFonts w:ascii="Times New Roman" w:hAnsi="Times New Roman" w:cs="Times New Roman"/>
        </w:rPr>
        <w:tab/>
        <w:t>Howell V, Schwartz A E, O’Leary J D, McDonnell C. The effect of the SQUIRE (Standards of QUality Improvement Reporting Excellence) guidelines on reporting standards in the quality Improvement literature: A before-and-after study. BMJ Qual Saf. 2015;24(6): 400–406. doi:10.1136/bmjqs-2014-003737</w:t>
      </w:r>
    </w:p>
    <w:p w14:paraId="72145445"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89. </w:t>
      </w:r>
      <w:r w:rsidRPr="008C17AC">
        <w:rPr>
          <w:rFonts w:ascii="Times New Roman" w:hAnsi="Times New Roman" w:cs="Times New Roman"/>
        </w:rPr>
        <w:tab/>
        <w:t>Jaljuli I, Kafkafi N, Giladi E, Golani I, Gozes I, Chesler E J, et al. A multi-lab experimental assessment reveals that replicability can be improved by using empirical estimates of genotype-by-lab interaction. Plos Biol. 2023;21: e3002082. doi:10.1371/journal.pbio.3002082</w:t>
      </w:r>
    </w:p>
    <w:p w14:paraId="10F1E071"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90. </w:t>
      </w:r>
      <w:r w:rsidRPr="008C17AC">
        <w:rPr>
          <w:rFonts w:ascii="Times New Roman" w:hAnsi="Times New Roman" w:cs="Times New Roman"/>
        </w:rPr>
        <w:tab/>
        <w:t>Kidwell M C, Lazarevic L B, Baranski E, Hardwicke T E, Piechowski S, Falkenberg L S, et al. Badges to Acknowledge Open Practices: A Simple, Low-Cost, Effective Method for Increasing Transparency. PLoS Biol. 2016;14(5) (no pagination): e1002456. doi:10.1371/journal.pbio.1002456</w:t>
      </w:r>
    </w:p>
    <w:p w14:paraId="2A3C0ED1"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91. </w:t>
      </w:r>
      <w:r w:rsidRPr="008C17AC">
        <w:rPr>
          <w:rFonts w:ascii="Times New Roman" w:hAnsi="Times New Roman" w:cs="Times New Roman"/>
        </w:rPr>
        <w:tab/>
        <w:t xml:space="preserve">Krawczyk M, Reuben E. (Un)available upon request: field experiment on researchers’ willingness to share supplementary materials. 2012;1: 175–186. </w:t>
      </w:r>
    </w:p>
    <w:p w14:paraId="5D113181"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92. </w:t>
      </w:r>
      <w:r w:rsidRPr="008C17AC">
        <w:rPr>
          <w:rFonts w:ascii="Times New Roman" w:hAnsi="Times New Roman" w:cs="Times New Roman"/>
        </w:rPr>
        <w:tab/>
        <w:t>Ladd C, Greenough M C, Reddy A K, Garrett E, Peterson A, Pierce A, et al. An evaluation of reporting guidelines and Clinical Trial Registry requirements among anesthesiology journals. J Evid-Based Med. 2023;16: 116–119. doi:10.1111/jebm.12533</w:t>
      </w:r>
    </w:p>
    <w:p w14:paraId="77A509F0"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93. </w:t>
      </w:r>
      <w:r w:rsidRPr="008C17AC">
        <w:rPr>
          <w:rFonts w:ascii="Times New Roman" w:hAnsi="Times New Roman" w:cs="Times New Roman"/>
        </w:rPr>
        <w:tab/>
        <w:t>Laurinavichyute A, Yadav H, Vasishth S. Share the code, not just the data: A case study of the reproducibility of articles published in the Journal of Memory and Language under the open data policy. J Mem Lang. 2022;125: 104332. doi:10.1016/j.jml.2022.104332</w:t>
      </w:r>
    </w:p>
    <w:p w14:paraId="117B217E"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94. </w:t>
      </w:r>
      <w:r w:rsidRPr="008C17AC">
        <w:rPr>
          <w:rFonts w:ascii="Times New Roman" w:hAnsi="Times New Roman" w:cs="Times New Roman"/>
        </w:rPr>
        <w:tab/>
        <w:t>Liu H, Gielen Mjcam, Bosmans Jwam, Winkens B, Bouvy N D. Inadequate awareness of adherence to ARRIVE guidelines, regarding reporting quality of hernia models repaired with meshes: a systematic review. Hernia. 2022;26: 389–400. doi:10.1007/s10029-020-02351-y</w:t>
      </w:r>
    </w:p>
    <w:p w14:paraId="3BC0A86E"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95. </w:t>
      </w:r>
      <w:r w:rsidRPr="008C17AC">
        <w:rPr>
          <w:rFonts w:ascii="Times New Roman" w:hAnsi="Times New Roman" w:cs="Times New Roman"/>
        </w:rPr>
        <w:tab/>
        <w:t>Madduri R, Chard K, D’Arcy M, Jung S C, Rodriguez A, Sulakhe D, et al. Reproducible big data science: A case study in continuous FAIRness. PLoS ONE Electron Resour. 2019;14: e0213013. doi:10.1371/journal.pone.0213013</w:t>
      </w:r>
    </w:p>
    <w:p w14:paraId="690A4CA4"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96. </w:t>
      </w:r>
      <w:r w:rsidRPr="008C17AC">
        <w:rPr>
          <w:rFonts w:ascii="Times New Roman" w:hAnsi="Times New Roman" w:cs="Times New Roman"/>
        </w:rPr>
        <w:tab/>
        <w:t>Magee A F, May M R, Moore B R. The dawn of open access to phylogenetic data. PLoS ONE Electron Resour. 2014;9: e110268. doi:10.1371/journal.pone.0110268</w:t>
      </w:r>
    </w:p>
    <w:p w14:paraId="4B2B10C2"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97. </w:t>
      </w:r>
      <w:r w:rsidRPr="008C17AC">
        <w:rPr>
          <w:rFonts w:ascii="Times New Roman" w:hAnsi="Times New Roman" w:cs="Times New Roman"/>
        </w:rPr>
        <w:tab/>
        <w:t>Marin Dos Santos, D H, Atallah A N. FDAAA legislation is working, but methodological flaws undermine the reliability of clinical trials: a cross-sectional study. 2015;1: e1015. doi:10.7717/peerj.1015</w:t>
      </w:r>
    </w:p>
    <w:p w14:paraId="4E2ED2DE"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98. </w:t>
      </w:r>
      <w:r w:rsidRPr="008C17AC">
        <w:rPr>
          <w:rFonts w:ascii="Times New Roman" w:hAnsi="Times New Roman" w:cs="Times New Roman"/>
        </w:rPr>
        <w:tab/>
        <w:t>McGee R G, Su M, Kelly P J, Higgins G Y, Craig J C, Webster A C. Trial registration and declaration of registration by authors of randomized controlled trials. Transplantation. 2011;92(10): 1094–1100. doi:10.1097/tp.0b013e318232baf2</w:t>
      </w:r>
    </w:p>
    <w:p w14:paraId="755C7A2B"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99. </w:t>
      </w:r>
      <w:r w:rsidRPr="008C17AC">
        <w:rPr>
          <w:rFonts w:ascii="Times New Roman" w:hAnsi="Times New Roman" w:cs="Times New Roman"/>
        </w:rPr>
        <w:tab/>
        <w:t>Menon J M. L, Ritskes-Hoitinga M, Pound P, van Oort E. The impact of conducting preclinical systematic reviews on researchers and their research: A mixed method case study. PLoS ONE Electron Resour. 2021;16: e0260619. doi:10.1371/journal.pone.0260619</w:t>
      </w:r>
    </w:p>
    <w:p w14:paraId="77C7B68F"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lastRenderedPageBreak/>
        <w:t xml:space="preserve">100. </w:t>
      </w:r>
      <w:r w:rsidRPr="008C17AC">
        <w:rPr>
          <w:rFonts w:ascii="Times New Roman" w:hAnsi="Times New Roman" w:cs="Times New Roman"/>
        </w:rPr>
        <w:tab/>
        <w:t>Meredith A J, Simeon-Dubach D, Matzke L A, Cheah S, Watson P H. Biospecimen Data Reporting in the Research Literature. Biopreservation Biobanking. 2019;17: 326–333. doi:10.1089/bio.2018.0143</w:t>
      </w:r>
    </w:p>
    <w:p w14:paraId="43B37E5D"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101. </w:t>
      </w:r>
      <w:r w:rsidRPr="008C17AC">
        <w:rPr>
          <w:rFonts w:ascii="Times New Roman" w:hAnsi="Times New Roman" w:cs="Times New Roman"/>
        </w:rPr>
        <w:tab/>
        <w:t xml:space="preserve">Milia N, Congiu A, Anagnostou P, Montinaro F, Capocasa M, Sanna E, et al. Mine, yours, ours? Sharing data on human genetic variation. 2012;1: e37552. </w:t>
      </w:r>
    </w:p>
    <w:p w14:paraId="58039DB6"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102. </w:t>
      </w:r>
      <w:r w:rsidRPr="008C17AC">
        <w:rPr>
          <w:rFonts w:ascii="Times New Roman" w:hAnsi="Times New Roman" w:cs="Times New Roman"/>
        </w:rPr>
        <w:tab/>
        <w:t>Narang C, Ouvina M, Rees C A, Bourgeois F T. Data Sharing for Pediatric Clinical Trials Funded by the US National Institutes of Health. JAMA Netw Open. 2023;6: e2325342. doi:10.1001/jamanetworkopen.2023.25342</w:t>
      </w:r>
    </w:p>
    <w:p w14:paraId="1DC6267C"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103. </w:t>
      </w:r>
      <w:r w:rsidRPr="008C17AC">
        <w:rPr>
          <w:rFonts w:ascii="Times New Roman" w:hAnsi="Times New Roman" w:cs="Times New Roman"/>
        </w:rPr>
        <w:tab/>
        <w:t>Naudet F, Sakarovitch C, Janiaud P, Cristea I, Fanelli D, Moher D, et al. Data sharing and reanalysis of randomized controlled trials in leading biomedical journals with a full data sharing policy: Survey of studies published in the BMJ and PLOS Medicine. BMJ Online. 2018;360: k400. doi:10.1136/bmj.k400</w:t>
      </w:r>
    </w:p>
    <w:p w14:paraId="55BF34F1"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104. </w:t>
      </w:r>
      <w:r w:rsidRPr="008C17AC">
        <w:rPr>
          <w:rFonts w:ascii="Times New Roman" w:hAnsi="Times New Roman" w:cs="Times New Roman"/>
        </w:rPr>
        <w:tab/>
        <w:t>Nguyen P Y, Kanukula R, McKenzie J E, Alqaidoom Z, Brennan S E, Haddaway N R, et al. Changing patterns in reporting and sharing of review data in systematic reviews with meta-analysis of the effects of interventions: Cross sectional meta-research study. BMJ. 2022; e072428. doi:10.1136/bmj-2022-072428</w:t>
      </w:r>
    </w:p>
    <w:p w14:paraId="235EEFD9"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105. </w:t>
      </w:r>
      <w:r w:rsidRPr="008C17AC">
        <w:rPr>
          <w:rFonts w:ascii="Times New Roman" w:hAnsi="Times New Roman" w:cs="Times New Roman"/>
        </w:rPr>
        <w:tab/>
        <w:t>Nuijten M B, Borghuis J, Veldkamp C L. S, Dominguez-Alvarez L, Van Assen M A. L. M, Wicherts J M. Journal data sharing policies and statistical reporting inconsistencies in psychology. Collabra Psychol. 2017;3: 31. doi:10.1525/collabra.102</w:t>
      </w:r>
    </w:p>
    <w:p w14:paraId="0C2419B3"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106. </w:t>
      </w:r>
      <w:r w:rsidRPr="008C17AC">
        <w:rPr>
          <w:rFonts w:ascii="Times New Roman" w:hAnsi="Times New Roman" w:cs="Times New Roman"/>
        </w:rPr>
        <w:tab/>
        <w:t>Obels Pepijn, Lakens Daniel, Coles Nicholas A, Gottfried Jaroslav, Green Seth A. Analysis of open data and computational reproducibility in registered reports in psychology. Adv Methods Pract Psychol Sci. 2020;3: 229–237. doi:10.1177/2515245920918872</w:t>
      </w:r>
    </w:p>
    <w:p w14:paraId="5FFA8E8A"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107. </w:t>
      </w:r>
      <w:r w:rsidRPr="008C17AC">
        <w:rPr>
          <w:rFonts w:ascii="Times New Roman" w:hAnsi="Times New Roman" w:cs="Times New Roman"/>
        </w:rPr>
        <w:tab/>
        <w:t>Palmer W, Okonya O, Jellison S, Horn J, Harter Z, Wilkett M, et al. Intervention reporting of clinical trials published in high-impact cardiology journals: effect of the TIDieR checklist and guide. BMJ Evid-Based Med. 2021;26: 91–97. doi:10.1136/bmjebm-2019-111309</w:t>
      </w:r>
    </w:p>
    <w:p w14:paraId="2A3B2BE9"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108. </w:t>
      </w:r>
      <w:r w:rsidRPr="008C17AC">
        <w:rPr>
          <w:rFonts w:ascii="Times New Roman" w:hAnsi="Times New Roman" w:cs="Times New Roman"/>
        </w:rPr>
        <w:tab/>
        <w:t>Piwowar H A. Who shares? Who doesn’t? Factors associated with openly archiving raw research data. PLoS ONE Electron Resour. 2011;6: e18657. doi:10.1371/journal.pone.0018657</w:t>
      </w:r>
    </w:p>
    <w:p w14:paraId="3B105313"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109. </w:t>
      </w:r>
      <w:r w:rsidRPr="008C17AC">
        <w:rPr>
          <w:rFonts w:ascii="Times New Roman" w:hAnsi="Times New Roman" w:cs="Times New Roman"/>
        </w:rPr>
        <w:tab/>
        <w:t xml:space="preserve">Piwowar H A, Chapman W W. Public sharing of research datasets: a pilot study of associations. J Informetr. 2010;4: 148–156. </w:t>
      </w:r>
    </w:p>
    <w:p w14:paraId="7C4FDA0A"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110. </w:t>
      </w:r>
      <w:r w:rsidRPr="008C17AC">
        <w:rPr>
          <w:rFonts w:ascii="Times New Roman" w:hAnsi="Times New Roman" w:cs="Times New Roman"/>
        </w:rPr>
        <w:tab/>
        <w:t xml:space="preserve">Riedel C, Geßner H, Seegebrecht A, Ayon S I, Chowdhury S H, Engbert R, et al. Including Data Management in Research Culture Increases the Reproducibility of Scientific Results. </w:t>
      </w:r>
      <w:r w:rsidRPr="008C17AC">
        <w:rPr>
          <w:rFonts w:ascii="Times New Roman" w:hAnsi="Times New Roman" w:cs="Times New Roman"/>
          <w:lang w:val="nl-NL"/>
        </w:rPr>
        <w:t xml:space="preserve">In: Demmler D, Universitat Hamburg, Vogt-Kolln-Strasse Hamburg, Krupka D, Gesellschaft fur Informatik, Anna-Louisa-Karsch-Strasse Berlin, et al., editors. </w:t>
      </w:r>
      <w:r w:rsidRPr="008C17AC">
        <w:rPr>
          <w:rFonts w:ascii="Times New Roman" w:hAnsi="Times New Roman" w:cs="Times New Roman"/>
        </w:rPr>
        <w:t>Gesellschaft fur Informatik (GI); 2022. pp. 1341–1352. doi:10.18420/inf2022_114</w:t>
      </w:r>
    </w:p>
    <w:p w14:paraId="1E6C9F2E"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111. </w:t>
      </w:r>
      <w:r w:rsidRPr="008C17AC">
        <w:rPr>
          <w:rFonts w:ascii="Times New Roman" w:hAnsi="Times New Roman" w:cs="Times New Roman"/>
        </w:rPr>
        <w:tab/>
        <w:t>Rowhani-Farid A, Aldcroft A, Barnett A G. Did awarding badges increase data sharing in BMJ Open? A randomized controlled trial. R Soc Open Sci. 2020;7: 191818. doi:10.1098/rsos.191818</w:t>
      </w:r>
    </w:p>
    <w:p w14:paraId="482370C4"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112. </w:t>
      </w:r>
      <w:r w:rsidRPr="008C17AC">
        <w:rPr>
          <w:rFonts w:ascii="Times New Roman" w:hAnsi="Times New Roman" w:cs="Times New Roman"/>
        </w:rPr>
        <w:tab/>
        <w:t>Rowhani-Farid A, Barnett A G. Has open data arrived at the British Medical Journal (BMJ)? An observational study. BMJ Open. 2016;6: e011784. doi:10.1136/bmjopen-2016-011784</w:t>
      </w:r>
    </w:p>
    <w:p w14:paraId="12A9ECDE"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113. </w:t>
      </w:r>
      <w:r w:rsidRPr="008C17AC">
        <w:rPr>
          <w:rFonts w:ascii="Times New Roman" w:hAnsi="Times New Roman" w:cs="Times New Roman"/>
        </w:rPr>
        <w:tab/>
        <w:t>Rowhani-Farid A, Barnett A G. Badges for sharing data and code at Biostatistics: an observational study. F1000Research. 2018;7: 90. doi:10.12688/f1000research.13477.2</w:t>
      </w:r>
    </w:p>
    <w:p w14:paraId="1BF0B613"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lastRenderedPageBreak/>
        <w:t xml:space="preserve">114. </w:t>
      </w:r>
      <w:r w:rsidRPr="008C17AC">
        <w:rPr>
          <w:rFonts w:ascii="Times New Roman" w:hAnsi="Times New Roman" w:cs="Times New Roman"/>
        </w:rPr>
        <w:tab/>
        <w:t>Ruamviboonsuk V, Thinkhamrop B, Kulvichit K, Tulvatana W. Data sharing implementation in top 10 ophthalmology journals in 2021. BMJ Open Ophthalmol. 2023;8: 07. doi:10.1136/bmjophth-2023-001276</w:t>
      </w:r>
    </w:p>
    <w:p w14:paraId="7C85BDEE"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115. </w:t>
      </w:r>
      <w:r w:rsidRPr="008C17AC">
        <w:rPr>
          <w:rFonts w:ascii="Times New Roman" w:hAnsi="Times New Roman" w:cs="Times New Roman"/>
        </w:rPr>
        <w:tab/>
        <w:t>Salameh J P, McInnes M D. F, Moher D, Thombs B D, McGrath T A, Frank R, et al. Completeness of Reporting of Systematic Reviews of Diagnostic Test Accuracy Based on the PRISMA-DTA Reporting Guideline. Clin Chem. 2019;65: 291–301. doi:10.1373/clinchem.2018.292987</w:t>
      </w:r>
    </w:p>
    <w:p w14:paraId="31D45B28"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116. </w:t>
      </w:r>
      <w:r w:rsidRPr="008C17AC">
        <w:rPr>
          <w:rFonts w:ascii="Times New Roman" w:hAnsi="Times New Roman" w:cs="Times New Roman"/>
        </w:rPr>
        <w:tab/>
        <w:t>Savage C J, Vickers A J. Empirical study of data sharing by authors publishing in PLoS journals. PLoS ONE. 2009;4(9) (no pagination): e7078. doi:10.1371/journal.pone.0007078</w:t>
      </w:r>
    </w:p>
    <w:p w14:paraId="3AB9E593"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117. </w:t>
      </w:r>
      <w:r w:rsidRPr="008C17AC">
        <w:rPr>
          <w:rFonts w:ascii="Times New Roman" w:hAnsi="Times New Roman" w:cs="Times New Roman"/>
        </w:rPr>
        <w:tab/>
        <w:t>Shamliyan T A, Kane R L. Availability of results from clinical research: failing policy efforts. J Epidemiol Glob Health. 2014;4: 1–12. doi:10.1016/j.jegh.2013.08.002</w:t>
      </w:r>
    </w:p>
    <w:p w14:paraId="08A8FC4B"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118. </w:t>
      </w:r>
      <w:r w:rsidRPr="008C17AC">
        <w:rPr>
          <w:rFonts w:ascii="Times New Roman" w:hAnsi="Times New Roman" w:cs="Times New Roman"/>
        </w:rPr>
        <w:tab/>
        <w:t>Shen T, Conway C, Rempfert K R, Kyle J E, Colby S M, Gaul D A, et al. The unknown lipids project: harmonized methods improve compound identification and data reproducibility in an inter-laboratory untargeted lipidomics study. BioRxiv Prepr Serv Biol. 2023;03: 03. doi:10.1101/2023.02.01.526566</w:t>
      </w:r>
    </w:p>
    <w:p w14:paraId="55E36C16"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119. </w:t>
      </w:r>
      <w:r w:rsidRPr="008C17AC">
        <w:rPr>
          <w:rFonts w:ascii="Times New Roman" w:hAnsi="Times New Roman" w:cs="Times New Roman"/>
        </w:rPr>
        <w:tab/>
        <w:t>Siebert M, Gaba J F, Caquelin L, Gouraud H, Dupuy A, Moher D, et al. Data-sharing recommendations in biomedical journals and randomised controlled trials: an audit of journals following the ICMJE recommendations. BMJ Open. 2020;10: e038887. doi:10.1136/bmjopen-2020-038887</w:t>
      </w:r>
    </w:p>
    <w:p w14:paraId="10B67398"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120. </w:t>
      </w:r>
      <w:r w:rsidRPr="008C17AC">
        <w:rPr>
          <w:rFonts w:ascii="Times New Roman" w:hAnsi="Times New Roman" w:cs="Times New Roman"/>
        </w:rPr>
        <w:tab/>
        <w:t>Sims M T, Bowers A M, Fernan J M, Dormire K D, Herrington J M, Vassar M. Trial registration and adherence to reporting guidelines in cardiovascular journals. Heart. 2018;104: 753–759. doi:10.1136/heartjnl-2017-312165</w:t>
      </w:r>
    </w:p>
    <w:p w14:paraId="427D3B67"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121. </w:t>
      </w:r>
      <w:r w:rsidRPr="008C17AC">
        <w:rPr>
          <w:rFonts w:ascii="Times New Roman" w:hAnsi="Times New Roman" w:cs="Times New Roman"/>
        </w:rPr>
        <w:tab/>
        <w:t>Sims M T, Sanchez Z C, Herrington J M, Hensel J B, Henning N M, Scheckel C J, et al. Shoulder Arthroplasty Trials Are Infrequently Registered: A Systematic Review of Trials. PLoS ONE Electron Resour. 2016;11: e0164984. doi:10.1371/journal.pone.0164984</w:t>
      </w:r>
    </w:p>
    <w:p w14:paraId="595CA633"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122. </w:t>
      </w:r>
      <w:r w:rsidRPr="008C17AC">
        <w:rPr>
          <w:rFonts w:ascii="Times New Roman" w:hAnsi="Times New Roman" w:cs="Times New Roman"/>
        </w:rPr>
        <w:tab/>
        <w:t>Sinaci A A, Gencturk M, Teoman H A, Laleci Erturkmen, G B, Alvarez-Romero C, et al. A Data Transformation Methodology to Create Findable, Accessible, Interoperable, and Reusable Health Data: Software Design, Development, and Evaluation Study. J Med Internet Res. 2023;25: e42822. doi:10.2196/42822</w:t>
      </w:r>
    </w:p>
    <w:p w14:paraId="14F2E7C1"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123. </w:t>
      </w:r>
      <w:r w:rsidRPr="008C17AC">
        <w:rPr>
          <w:rFonts w:ascii="Times New Roman" w:hAnsi="Times New Roman" w:cs="Times New Roman"/>
        </w:rPr>
        <w:tab/>
        <w:t>Soderberg C K, Errington T M, Schiavone S R, Bottesini J, Thorn F S, Vazire S, et al. Initial evidence of research quality of registered reports compared with the standard publishing model. Nat Hum Behav. 2021;5: 990–997. doi:10.1038/s41562-021-01142-4</w:t>
      </w:r>
    </w:p>
    <w:p w14:paraId="669E430B"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124. </w:t>
      </w:r>
      <w:r w:rsidRPr="008C17AC">
        <w:rPr>
          <w:rFonts w:ascii="Times New Roman" w:hAnsi="Times New Roman" w:cs="Times New Roman"/>
        </w:rPr>
        <w:tab/>
        <w:t>Speich B, Mann E, Schonenberger C M, Mellor K, Griessbach A N, Dhiman P, et al. Reminding Peer Reviewers of Reporting Guideline Items to Improve Completeness in Published Articles: Primary Results of 2 Randomized Trials. JAMA Netw Open. 2023;6: e2317651. doi:10.1001/jamanetworkopen.2023.17651</w:t>
      </w:r>
    </w:p>
    <w:p w14:paraId="607EE405"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125. </w:t>
      </w:r>
      <w:r w:rsidRPr="008C17AC">
        <w:rPr>
          <w:rFonts w:ascii="Times New Roman" w:hAnsi="Times New Roman" w:cs="Times New Roman"/>
        </w:rPr>
        <w:tab/>
        <w:t>Struthers C, Harwood J, de Beyer J A, Dhiman P, Logullo P, Schlüssel M. GoodReports: developing a website to help health researchers find and use reporting guidelines. BMC Med Res Methodol. 2021;21: 217. doi:10.1186/s12874-021-01402-x</w:t>
      </w:r>
    </w:p>
    <w:p w14:paraId="7EFE8AA6"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126. </w:t>
      </w:r>
      <w:r w:rsidRPr="008C17AC">
        <w:rPr>
          <w:rFonts w:ascii="Times New Roman" w:hAnsi="Times New Roman" w:cs="Times New Roman"/>
        </w:rPr>
        <w:tab/>
        <w:t>Thelwall M, Kousha K. Do journal data sharing mandates work? Life sciences evidence from Dryad. Aslib J Inf Manag. 2017;69: 36–45. doi:10.1108/ajim-09-2016-0159</w:t>
      </w:r>
    </w:p>
    <w:p w14:paraId="061A05A8"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lastRenderedPageBreak/>
        <w:t xml:space="preserve">127. </w:t>
      </w:r>
      <w:r w:rsidRPr="008C17AC">
        <w:rPr>
          <w:rFonts w:ascii="Times New Roman" w:hAnsi="Times New Roman" w:cs="Times New Roman"/>
        </w:rPr>
        <w:tab/>
        <w:t>Toth A A, Banks G C, Mellor D, O’Boyle E H, Dickson A, Davis D J, et al. Study Preregistration: An Evaluation of a Method for Transparent Reporting. J Bus Psychol. 2021;36: 553–571. doi:10.1007/s10869-020-09695-3</w:t>
      </w:r>
    </w:p>
    <w:p w14:paraId="2F57C18B" w14:textId="77777777" w:rsidR="00943874" w:rsidRPr="008C17AC" w:rsidRDefault="00943874" w:rsidP="00943874">
      <w:pPr>
        <w:pStyle w:val="Bibliografie"/>
        <w:rPr>
          <w:rFonts w:ascii="Times New Roman" w:hAnsi="Times New Roman" w:cs="Times New Roman"/>
          <w:lang w:val="nl-NL"/>
        </w:rPr>
      </w:pPr>
      <w:r w:rsidRPr="008C17AC">
        <w:rPr>
          <w:rFonts w:ascii="Times New Roman" w:hAnsi="Times New Roman" w:cs="Times New Roman"/>
        </w:rPr>
        <w:t xml:space="preserve">128. </w:t>
      </w:r>
      <w:r w:rsidRPr="008C17AC">
        <w:rPr>
          <w:rFonts w:ascii="Times New Roman" w:hAnsi="Times New Roman" w:cs="Times New Roman"/>
        </w:rPr>
        <w:tab/>
        <w:t xml:space="preserve">Trisovic A, Lau M K, Pasquier T, Crosas M. A large-scale study on research code quality and execution. </w:t>
      </w:r>
      <w:r w:rsidRPr="008C17AC">
        <w:rPr>
          <w:rFonts w:ascii="Times New Roman" w:hAnsi="Times New Roman" w:cs="Times New Roman"/>
          <w:lang w:val="nl-NL"/>
        </w:rPr>
        <w:t>Sci Data. 2022;9: 60. doi:10.1038/s41597-022-01143-6</w:t>
      </w:r>
    </w:p>
    <w:p w14:paraId="54A8BE39"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lang w:val="nl-NL"/>
        </w:rPr>
        <w:t xml:space="preserve">129. </w:t>
      </w:r>
      <w:r w:rsidRPr="008C17AC">
        <w:rPr>
          <w:rFonts w:ascii="Times New Roman" w:hAnsi="Times New Roman" w:cs="Times New Roman"/>
          <w:lang w:val="nl-NL"/>
        </w:rPr>
        <w:tab/>
        <w:t xml:space="preserve">van der Braak K, Ghannad M, Orelio C, Heus P, Damen J A. A, Spijker R, et al. </w:t>
      </w:r>
      <w:r w:rsidRPr="008C17AC">
        <w:rPr>
          <w:rFonts w:ascii="Times New Roman" w:hAnsi="Times New Roman" w:cs="Times New Roman"/>
        </w:rPr>
        <w:t>The score after 10 years of registration of systematic review protocols. Syst Rev. 2022;11: 191. doi:10.1186/s13643-022-02053-9</w:t>
      </w:r>
    </w:p>
    <w:p w14:paraId="68966A8B"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130. </w:t>
      </w:r>
      <w:r w:rsidRPr="008C17AC">
        <w:rPr>
          <w:rFonts w:ascii="Times New Roman" w:hAnsi="Times New Roman" w:cs="Times New Roman"/>
        </w:rPr>
        <w:tab/>
        <w:t>Vassar M, Pollard J, Rorah D, Jellison S, Harter Z J, Brasseux S. Assessment of the completeness of intervention reporting of randomized clinical trials for alcohol use disorders: Effect of the TIDieR checklist and guide. Drug Alcohol Depend. 2020;208: 107824. doi:10.1016/j.drugalcdep.2019.107824</w:t>
      </w:r>
    </w:p>
    <w:p w14:paraId="6D824E87"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131. </w:t>
      </w:r>
      <w:r w:rsidRPr="008C17AC">
        <w:rPr>
          <w:rFonts w:ascii="Times New Roman" w:hAnsi="Times New Roman" w:cs="Times New Roman"/>
        </w:rPr>
        <w:tab/>
        <w:t>Veroniki A A, Tsokani S, Zevgiti S, Pagkalidou I, Kontouli K M, Ambarcioglu P, et al. Do reporting guidelines have an impact? Empirical assessment of changes in reporting before and after the PRISMA extension statement for network meta-analysis. Syst Rev. 2021;10: 246. doi:10.1186/s13643-021-01780-9</w:t>
      </w:r>
    </w:p>
    <w:p w14:paraId="3B0B90CC"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132. </w:t>
      </w:r>
      <w:r w:rsidRPr="008C17AC">
        <w:rPr>
          <w:rFonts w:ascii="Times New Roman" w:hAnsi="Times New Roman" w:cs="Times New Roman"/>
        </w:rPr>
        <w:tab/>
        <w:t>Walsh S, Jones M, Bressington D, McKenna L, Brown E, Terhaag S, et al. Adherence to COREQ Reporting Guidelines for Qualitative Research: A Scientometric Study in Nursing Social Science. Int J Qual Methods. 2020;19. doi:10.1177/1609406920982145</w:t>
      </w:r>
    </w:p>
    <w:p w14:paraId="45BEB069"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133. </w:t>
      </w:r>
      <w:r w:rsidRPr="008C17AC">
        <w:rPr>
          <w:rFonts w:ascii="Times New Roman" w:hAnsi="Times New Roman" w:cs="Times New Roman"/>
        </w:rPr>
        <w:tab/>
        <w:t>Witwer K W. Data submission and quality in microarray-based MicroRNA profiling. Clin Chem. 2013;59(2): 392–400. doi:10.1373/clinchem.2012.193813</w:t>
      </w:r>
    </w:p>
    <w:p w14:paraId="3F827EDE"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134. </w:t>
      </w:r>
      <w:r w:rsidRPr="008C17AC">
        <w:rPr>
          <w:rFonts w:ascii="Times New Roman" w:hAnsi="Times New Roman" w:cs="Times New Roman"/>
        </w:rPr>
        <w:tab/>
        <w:t>OECD. Frascati Manual 2015: Guidelines for Collecting and Reporting Data on Research and Experimental Development. Paris: Organisation for Economic Co-operation and Development; 2015. Available: https://www.oecd-ilibrary.org/science-and-technology/frascati-manual-2015_9789264239012-en</w:t>
      </w:r>
    </w:p>
    <w:p w14:paraId="0C49D282"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135. </w:t>
      </w:r>
      <w:r w:rsidRPr="008C17AC">
        <w:rPr>
          <w:rFonts w:ascii="Times New Roman" w:hAnsi="Times New Roman" w:cs="Times New Roman"/>
        </w:rPr>
        <w:tab/>
        <w:t xml:space="preserve">Fletcher RH, Black B. “Spin” in scientific writing: scientific mischief and legal jeopardy. Med Law. 2007;26: 511–525. </w:t>
      </w:r>
    </w:p>
    <w:p w14:paraId="071D8020"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136. </w:t>
      </w:r>
      <w:r w:rsidRPr="008C17AC">
        <w:rPr>
          <w:rFonts w:ascii="Times New Roman" w:hAnsi="Times New Roman" w:cs="Times New Roman"/>
        </w:rPr>
        <w:tab/>
        <w:t>Rahal R-M, Hamann H, Brohmer H, Pethig F. Sharing the Recipe: Reproducibility and Replicability in Research Across Disciplines. Res Ideas Outcomes. 2022;8: e89980. doi:10.3897/rio.8.e89980</w:t>
      </w:r>
    </w:p>
    <w:p w14:paraId="11C8F643"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137. </w:t>
      </w:r>
      <w:r w:rsidRPr="008C17AC">
        <w:rPr>
          <w:rFonts w:ascii="Times New Roman" w:hAnsi="Times New Roman" w:cs="Times New Roman"/>
        </w:rPr>
        <w:tab/>
        <w:t>Squazzoni F, Ahrweiler P, Barros T, Bianchi F, Birukou A, Blom HJJ, et al. Unlock ways to share data on peer review. Nature. 2020;578: 512–514. doi:10.1038/d41586-020-00500-y</w:t>
      </w:r>
    </w:p>
    <w:p w14:paraId="659C2960"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138. </w:t>
      </w:r>
      <w:r w:rsidRPr="008C17AC">
        <w:rPr>
          <w:rFonts w:ascii="Times New Roman" w:hAnsi="Times New Roman" w:cs="Times New Roman"/>
        </w:rPr>
        <w:tab/>
        <w:t>Horbach SPJM, Tijdink JK, Bouter L. Research funders should be more transparent: a plea for open applications. R Soc Open Sci. 2022;9: 220750. doi:10.1098/rsos.220750</w:t>
      </w:r>
    </w:p>
    <w:p w14:paraId="32EC3B31"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139. </w:t>
      </w:r>
      <w:r w:rsidRPr="008C17AC">
        <w:rPr>
          <w:rFonts w:ascii="Times New Roman" w:hAnsi="Times New Roman" w:cs="Times New Roman"/>
        </w:rPr>
        <w:tab/>
        <w:t>Rosenthal R. The file drawer problem and tolerance for null results. Psychol Bull. 1979;86: 638–641. doi:10.1037/0033-2909.86.3.638</w:t>
      </w:r>
    </w:p>
    <w:p w14:paraId="2BA78F2F"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140. </w:t>
      </w:r>
      <w:r w:rsidRPr="008C17AC">
        <w:rPr>
          <w:rFonts w:ascii="Times New Roman" w:hAnsi="Times New Roman" w:cs="Times New Roman"/>
        </w:rPr>
        <w:tab/>
        <w:t>Dwan K, Gamble C, Williamson PR, Kirkham JJ. Systematic Review of the Empirical Evidence of Study Publication Bias and Outcome Reporting Bias — An Updated Review. PLOS ONE. 2013;8: e66844. doi:10.1371/journal.pone.0066844</w:t>
      </w:r>
    </w:p>
    <w:p w14:paraId="562CC362"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t xml:space="preserve">141. </w:t>
      </w:r>
      <w:r w:rsidRPr="008C17AC">
        <w:rPr>
          <w:rFonts w:ascii="Times New Roman" w:hAnsi="Times New Roman" w:cs="Times New Roman"/>
        </w:rPr>
        <w:tab/>
        <w:t>Song F, Hooper L, Loke YK. Publication bias: what is it? How do we measure it? How do we avoid it? Open Access J Clin Trials. 2013;5: 71–81. doi:10.2147/OAJCT.S34419</w:t>
      </w:r>
    </w:p>
    <w:p w14:paraId="0E50611E" w14:textId="77777777" w:rsidR="00943874" w:rsidRPr="008C17AC" w:rsidRDefault="00943874" w:rsidP="00943874">
      <w:pPr>
        <w:pStyle w:val="Bibliografie"/>
        <w:rPr>
          <w:rFonts w:ascii="Times New Roman" w:hAnsi="Times New Roman" w:cs="Times New Roman"/>
        </w:rPr>
      </w:pPr>
      <w:r w:rsidRPr="008C17AC">
        <w:rPr>
          <w:rFonts w:ascii="Times New Roman" w:hAnsi="Times New Roman" w:cs="Times New Roman"/>
        </w:rPr>
        <w:lastRenderedPageBreak/>
        <w:t xml:space="preserve">142. </w:t>
      </w:r>
      <w:r w:rsidRPr="008C17AC">
        <w:rPr>
          <w:rFonts w:ascii="Times New Roman" w:hAnsi="Times New Roman" w:cs="Times New Roman"/>
        </w:rPr>
        <w:tab/>
        <w:t>Coles N. The Red Team Challenge (Part 1): Why I placed a bounty on my own research. In: The 100% CI [Internet]. 29 Jun 2020 [cited 21 May 2024]. Available: https://www.the100.ci/2020/06/29/red-team-part-1/</w:t>
      </w:r>
    </w:p>
    <w:p w14:paraId="0DBB0295" w14:textId="73EC6B9C" w:rsidR="00B40DBB" w:rsidRPr="008C17AC" w:rsidRDefault="003B7C68" w:rsidP="00B40DBB">
      <w:pPr>
        <w:spacing w:after="120" w:line="360" w:lineRule="auto"/>
        <w:ind w:right="-20" w:firstLine="567"/>
        <w:rPr>
          <w:rFonts w:ascii="Times New Roman" w:eastAsia="Times New Roman" w:hAnsi="Times New Roman" w:cs="Times New Roman"/>
          <w:b/>
          <w:bCs/>
          <w:sz w:val="24"/>
          <w:szCs w:val="24"/>
        </w:rPr>
      </w:pPr>
      <w:r w:rsidRPr="008C17AC">
        <w:rPr>
          <w:rFonts w:ascii="Times New Roman" w:eastAsia="Times New Roman" w:hAnsi="Times New Roman" w:cs="Times New Roman"/>
          <w:b/>
          <w:bCs/>
          <w:sz w:val="24"/>
          <w:szCs w:val="24"/>
        </w:rPr>
        <w:fldChar w:fldCharType="end"/>
      </w:r>
    </w:p>
    <w:p w14:paraId="4E20EE6D" w14:textId="2725A53E" w:rsidR="1E959256" w:rsidRPr="008C17AC" w:rsidRDefault="1E959256" w:rsidP="1A6C9FDE">
      <w:pPr>
        <w:spacing w:after="120" w:line="360" w:lineRule="auto"/>
        <w:ind w:right="-20" w:firstLine="567"/>
        <w:rPr>
          <w:rFonts w:ascii="Times New Roman" w:eastAsia="Times New Roman" w:hAnsi="Times New Roman" w:cs="Times New Roman"/>
          <w:sz w:val="24"/>
          <w:szCs w:val="24"/>
        </w:rPr>
      </w:pPr>
    </w:p>
    <w:p w14:paraId="224B131B" w14:textId="6E1974D0" w:rsidR="1E959256" w:rsidRPr="008C17AC" w:rsidRDefault="1E959256" w:rsidP="00E95B3F">
      <w:pPr>
        <w:spacing w:after="120" w:line="360" w:lineRule="auto"/>
        <w:ind w:firstLine="567"/>
        <w:rPr>
          <w:rFonts w:ascii="Times New Roman" w:eastAsia="Times New Roman" w:hAnsi="Times New Roman" w:cs="Times New Roman"/>
          <w:sz w:val="24"/>
          <w:szCs w:val="24"/>
        </w:rPr>
      </w:pPr>
    </w:p>
    <w:p w14:paraId="051F3EF4" w14:textId="39001D0C" w:rsidR="00E63726" w:rsidRDefault="00E6372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2712CE5" w14:textId="77777777" w:rsidR="00E63726" w:rsidRDefault="00E63726" w:rsidP="00E63726">
      <w:pPr>
        <w:pStyle w:val="Kop1"/>
      </w:pPr>
      <w:r>
        <w:lastRenderedPageBreak/>
        <w:t>Supplementary material</w:t>
      </w:r>
    </w:p>
    <w:p w14:paraId="1AD41919" w14:textId="77777777" w:rsidR="00E63726" w:rsidRDefault="00E63726" w:rsidP="00E63726"/>
    <w:p w14:paraId="55D387A2" w14:textId="77777777" w:rsidR="00E63726" w:rsidRDefault="00E63726" w:rsidP="00E63726">
      <w:pPr>
        <w:spacing w:line="257" w:lineRule="auto"/>
        <w:rPr>
          <w:rFonts w:ascii="Times New Roman" w:eastAsia="Times New Roman" w:hAnsi="Times New Roman" w:cs="Times New Roman"/>
        </w:rPr>
      </w:pPr>
      <w:r w:rsidRPr="19D72ED3">
        <w:rPr>
          <w:rFonts w:ascii="Times New Roman" w:eastAsia="Times New Roman" w:hAnsi="Times New Roman" w:cs="Times New Roman"/>
          <w:lang w:val="nl-NL"/>
        </w:rPr>
        <w:t xml:space="preserve">Index </w:t>
      </w:r>
    </w:p>
    <w:p w14:paraId="2F072A7E" w14:textId="77777777" w:rsidR="00E63726" w:rsidRDefault="00E63726" w:rsidP="005301A1">
      <w:pPr>
        <w:pStyle w:val="Lijstalinea"/>
        <w:numPr>
          <w:ilvl w:val="0"/>
          <w:numId w:val="6"/>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lang w:val="nl-NL"/>
        </w:rPr>
        <w:t>Deviations to the original protocol</w:t>
      </w:r>
    </w:p>
    <w:p w14:paraId="40F5F90B" w14:textId="77777777" w:rsidR="00E63726" w:rsidRDefault="00E63726" w:rsidP="005301A1">
      <w:pPr>
        <w:pStyle w:val="Lijstalinea"/>
        <w:numPr>
          <w:ilvl w:val="0"/>
          <w:numId w:val="6"/>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lang w:val="nl-NL"/>
        </w:rPr>
        <w:t>Search strategies</w:t>
      </w:r>
    </w:p>
    <w:p w14:paraId="375FE999" w14:textId="77777777" w:rsidR="00E63726" w:rsidRDefault="00E63726" w:rsidP="005301A1">
      <w:pPr>
        <w:pStyle w:val="Lijstalinea"/>
        <w:numPr>
          <w:ilvl w:val="0"/>
          <w:numId w:val="6"/>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Data-extraction items and their answering options</w:t>
      </w:r>
    </w:p>
    <w:p w14:paraId="75915ACF" w14:textId="77777777" w:rsidR="00E63726" w:rsidRDefault="00E63726" w:rsidP="005301A1">
      <w:pPr>
        <w:pStyle w:val="Lijstalinea"/>
        <w:numPr>
          <w:ilvl w:val="0"/>
          <w:numId w:val="6"/>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lang w:val="nl-NL"/>
        </w:rPr>
        <w:t>List of interventions</w:t>
      </w:r>
    </w:p>
    <w:p w14:paraId="6455BB4C" w14:textId="77777777" w:rsidR="00E63726" w:rsidRDefault="00E63726" w:rsidP="005301A1">
      <w:pPr>
        <w:pStyle w:val="Lijstalinea"/>
        <w:numPr>
          <w:ilvl w:val="0"/>
          <w:numId w:val="6"/>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lang w:val="nl-NL"/>
        </w:rPr>
        <w:t>List of outcomes</w:t>
      </w:r>
    </w:p>
    <w:p w14:paraId="47FF3571" w14:textId="77777777" w:rsidR="00E63726" w:rsidRDefault="00E63726" w:rsidP="005301A1">
      <w:pPr>
        <w:pStyle w:val="Lijstalinea"/>
        <w:numPr>
          <w:ilvl w:val="0"/>
          <w:numId w:val="6"/>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Explanations of terminology used</w:t>
      </w:r>
    </w:p>
    <w:p w14:paraId="24B1F9EF" w14:textId="77777777" w:rsidR="00E63726" w:rsidRDefault="00E63726" w:rsidP="005301A1">
      <w:pPr>
        <w:pStyle w:val="Lijstalinea"/>
        <w:numPr>
          <w:ilvl w:val="0"/>
          <w:numId w:val="6"/>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PRISMA-ScR</w:t>
      </w:r>
    </w:p>
    <w:p w14:paraId="5ACDFD0C" w14:textId="77777777" w:rsidR="00E63726" w:rsidRDefault="00E63726" w:rsidP="00E63726">
      <w:pPr>
        <w:spacing w:line="257" w:lineRule="auto"/>
      </w:pPr>
      <w:r w:rsidRPr="7C5BD209">
        <w:rPr>
          <w:rFonts w:ascii="Calibri" w:eastAsia="Calibri" w:hAnsi="Calibri" w:cs="Calibri"/>
        </w:rPr>
        <w:t xml:space="preserve"> </w:t>
      </w:r>
    </w:p>
    <w:p w14:paraId="2B718A2E" w14:textId="77777777" w:rsidR="00E63726" w:rsidRDefault="00E63726" w:rsidP="00E63726">
      <w:pPr>
        <w:spacing w:after="0" w:line="257" w:lineRule="auto"/>
      </w:pPr>
    </w:p>
    <w:p w14:paraId="3DCED1DD" w14:textId="77777777" w:rsidR="00E63726" w:rsidRDefault="00E63726" w:rsidP="00E63726">
      <w:pPr>
        <w:spacing w:line="257" w:lineRule="auto"/>
      </w:pPr>
      <w:r w:rsidRPr="7C5BD209">
        <w:rPr>
          <w:rFonts w:ascii="Calibri" w:eastAsia="Calibri" w:hAnsi="Calibri" w:cs="Calibri"/>
        </w:rPr>
        <w:t xml:space="preserve"> </w:t>
      </w:r>
    </w:p>
    <w:p w14:paraId="4255EC3E" w14:textId="77777777" w:rsidR="00E63726" w:rsidRDefault="00E63726" w:rsidP="00E63726">
      <w:r>
        <w:br w:type="page"/>
      </w:r>
    </w:p>
    <w:p w14:paraId="7554E202" w14:textId="77777777" w:rsidR="00E63726" w:rsidRDefault="00E63726" w:rsidP="00E63726">
      <w:pPr>
        <w:pStyle w:val="Kop1"/>
        <w:spacing w:line="257" w:lineRule="auto"/>
      </w:pPr>
      <w:r w:rsidRPr="7C5BD209">
        <w:rPr>
          <w:rFonts w:ascii="Calibri Light" w:eastAsia="Calibri Light" w:hAnsi="Calibri Light" w:cs="Calibri Light"/>
          <w:lang w:val="en-GB"/>
        </w:rPr>
        <w:lastRenderedPageBreak/>
        <w:t>1.Deviations to the original protocol</w:t>
      </w:r>
    </w:p>
    <w:p w14:paraId="546F5E9C" w14:textId="77777777" w:rsidR="00E63726" w:rsidRDefault="00E63726" w:rsidP="00E63726">
      <w:pPr>
        <w:spacing w:line="257" w:lineRule="auto"/>
      </w:pPr>
      <w:r w:rsidRPr="7C5BD209">
        <w:rPr>
          <w:rFonts w:ascii="Calibri" w:eastAsia="Calibri" w:hAnsi="Calibri" w:cs="Calibri"/>
        </w:rPr>
        <w:t xml:space="preserve"> </w:t>
      </w:r>
    </w:p>
    <w:p w14:paraId="4F8D787D" w14:textId="77777777" w:rsidR="00E63726" w:rsidRDefault="00E63726" w:rsidP="00E63726">
      <w:pPr>
        <w:spacing w:after="120" w:line="360" w:lineRule="auto"/>
        <w:ind w:right="-20" w:firstLine="567"/>
        <w:rPr>
          <w:rFonts w:ascii="Times New Roman" w:eastAsia="Times New Roman" w:hAnsi="Times New Roman" w:cs="Times New Roman"/>
          <w:color w:val="000000" w:themeColor="text1"/>
        </w:rPr>
      </w:pPr>
      <w:r w:rsidRPr="19D72ED3">
        <w:rPr>
          <w:rFonts w:ascii="Times New Roman" w:eastAsia="Times New Roman" w:hAnsi="Times New Roman" w:cs="Times New Roman"/>
          <w:color w:val="000000" w:themeColor="text1"/>
        </w:rPr>
        <w:t xml:space="preserve">Papers detailing barriers and facilitators to promoting reproducibility were extracted during our searches, per protocol, but will be analysed separately in a future manuscript. We also planned to formally apply reference snowballing to retrieve extra papers citing the papers we already included. However, due to the number of articles included this was deemed to be unmanageable, we decided to limit reference checks to relevant reviews identified during screening. </w:t>
      </w:r>
    </w:p>
    <w:p w14:paraId="015429E2" w14:textId="77777777" w:rsidR="00E63726" w:rsidRDefault="00E63726" w:rsidP="00E63726">
      <w:pPr>
        <w:spacing w:after="120" w:line="360" w:lineRule="auto"/>
        <w:ind w:left="-20" w:right="-20" w:firstLine="567"/>
        <w:rPr>
          <w:rFonts w:ascii="Times New Roman" w:eastAsia="Times New Roman" w:hAnsi="Times New Roman" w:cs="Times New Roman"/>
          <w:color w:val="000000" w:themeColor="text1"/>
        </w:rPr>
      </w:pPr>
      <w:r w:rsidRPr="19D72ED3">
        <w:rPr>
          <w:rFonts w:ascii="Times New Roman" w:eastAsia="Times New Roman" w:hAnsi="Times New Roman" w:cs="Times New Roman"/>
          <w:color w:val="000000" w:themeColor="text1"/>
        </w:rPr>
        <w:t>We did not extract the type of publication since the articles were already sorted into categories at the previous step. We did not report the specific name of the design but simplified it by only distinguishing between “comparative”, “post-test design”, “qualitative” and “other” (see figure xx). Also, we added an item to record experimental design characteristics. We decided to not include disclosure of competing interest as proxy since we believe that it is not related closely enough to function as proxy outcome. Also, we excluded computational reproducibility practices from the outcome list since these would be covered by other items such as data sharing and reproducibility checks. We added the term research process transparency for clarification. Furthermore, we excluded assay reproducibility because most of the studies assessing assay reproducibility that we screened did not aim to evaluate reproducibility of a research project.</w:t>
      </w:r>
    </w:p>
    <w:p w14:paraId="14D767BF" w14:textId="77777777" w:rsidR="00E63726" w:rsidRPr="005A0FC6" w:rsidRDefault="00E63726" w:rsidP="00E63726">
      <w:pPr>
        <w:spacing w:after="120" w:line="360" w:lineRule="auto"/>
        <w:ind w:right="-20" w:firstLine="567"/>
        <w:rPr>
          <w:rFonts w:ascii="Times New Roman" w:eastAsia="Times New Roman" w:hAnsi="Times New Roman" w:cs="Times New Roman"/>
        </w:rPr>
      </w:pPr>
      <w:r w:rsidRPr="005A0FC6">
        <w:rPr>
          <w:rFonts w:ascii="Times New Roman" w:eastAsia="Times New Roman" w:hAnsi="Times New Roman" w:cs="Times New Roman"/>
        </w:rPr>
        <w:t xml:space="preserve"> </w:t>
      </w:r>
    </w:p>
    <w:p w14:paraId="26B3B70C" w14:textId="77777777" w:rsidR="00E63726" w:rsidRPr="005A0FC6" w:rsidRDefault="00E63726" w:rsidP="005301A1">
      <w:pPr>
        <w:pStyle w:val="Lijstalinea"/>
        <w:numPr>
          <w:ilvl w:val="0"/>
          <w:numId w:val="5"/>
        </w:numPr>
        <w:spacing w:after="0" w:line="360" w:lineRule="auto"/>
        <w:ind w:right="-20"/>
        <w:rPr>
          <w:rFonts w:ascii="Times New Roman" w:eastAsia="Times New Roman" w:hAnsi="Times New Roman" w:cs="Times New Roman"/>
        </w:rPr>
      </w:pPr>
      <w:r w:rsidRPr="005A0FC6">
        <w:rPr>
          <w:rFonts w:ascii="Times New Roman" w:eastAsia="Times New Roman" w:hAnsi="Times New Roman" w:cs="Times New Roman"/>
        </w:rPr>
        <w:t>Deviations to the screening process: single screening for title/abstract, maybe category to indicate edge cases for a second (senior) reviewer</w:t>
      </w:r>
    </w:p>
    <w:p w14:paraId="5782103A" w14:textId="77777777" w:rsidR="00E63726" w:rsidRPr="005A0FC6" w:rsidRDefault="00E63726" w:rsidP="005301A1">
      <w:pPr>
        <w:pStyle w:val="Lijstalinea"/>
        <w:numPr>
          <w:ilvl w:val="0"/>
          <w:numId w:val="5"/>
        </w:numPr>
        <w:spacing w:after="0" w:line="360" w:lineRule="auto"/>
        <w:ind w:right="-20"/>
        <w:rPr>
          <w:rFonts w:ascii="Times New Roman" w:eastAsia="Times New Roman" w:hAnsi="Times New Roman" w:cs="Times New Roman"/>
        </w:rPr>
      </w:pPr>
      <w:r w:rsidRPr="005A0FC6">
        <w:rPr>
          <w:rFonts w:ascii="Times New Roman" w:eastAsia="Times New Roman" w:hAnsi="Times New Roman" w:cs="Times New Roman"/>
        </w:rPr>
        <w:t>Grey literature search not as broad as originally planned?</w:t>
      </w:r>
    </w:p>
    <w:p w14:paraId="33B5607E" w14:textId="77777777" w:rsidR="00E63726" w:rsidRPr="005A0FC6" w:rsidRDefault="00E63726" w:rsidP="005301A1">
      <w:pPr>
        <w:pStyle w:val="Lijstalinea"/>
        <w:numPr>
          <w:ilvl w:val="0"/>
          <w:numId w:val="5"/>
        </w:numPr>
        <w:spacing w:after="0" w:line="360" w:lineRule="auto"/>
        <w:ind w:right="-20"/>
        <w:rPr>
          <w:rFonts w:ascii="Times New Roman" w:eastAsia="Times New Roman" w:hAnsi="Times New Roman" w:cs="Times New Roman"/>
        </w:rPr>
      </w:pPr>
      <w:r w:rsidRPr="005A0FC6">
        <w:rPr>
          <w:rFonts w:ascii="Times New Roman" w:eastAsia="Times New Roman" w:hAnsi="Times New Roman" w:cs="Times New Roman"/>
        </w:rPr>
        <w:t xml:space="preserve">Data extraction not in duplicate, but instead checked by another author which gave feedback during extraction, data check in the end to look for missing data and obvious inconsistencies </w:t>
      </w:r>
    </w:p>
    <w:p w14:paraId="504394A5" w14:textId="77777777" w:rsidR="00E63726" w:rsidRPr="005A0FC6" w:rsidRDefault="00E63726" w:rsidP="005301A1">
      <w:pPr>
        <w:pStyle w:val="Lijstalinea"/>
        <w:numPr>
          <w:ilvl w:val="0"/>
          <w:numId w:val="5"/>
        </w:numPr>
        <w:spacing w:after="0" w:line="360" w:lineRule="auto"/>
        <w:ind w:right="-20"/>
        <w:rPr>
          <w:rFonts w:ascii="Times New Roman" w:eastAsia="Times New Roman" w:hAnsi="Times New Roman" w:cs="Times New Roman"/>
        </w:rPr>
      </w:pPr>
      <w:r w:rsidRPr="005A0FC6">
        <w:rPr>
          <w:rFonts w:ascii="Times New Roman" w:eastAsia="Times New Roman" w:hAnsi="Times New Roman" w:cs="Times New Roman"/>
        </w:rPr>
        <w:t>No authors contacted is information was insufficient due to time constraints</w:t>
      </w:r>
    </w:p>
    <w:p w14:paraId="4BAA53BC" w14:textId="77777777" w:rsidR="00E63726" w:rsidRPr="005A0FC6" w:rsidRDefault="00E63726" w:rsidP="005301A1">
      <w:pPr>
        <w:pStyle w:val="Lijstalinea"/>
        <w:numPr>
          <w:ilvl w:val="0"/>
          <w:numId w:val="5"/>
        </w:numPr>
        <w:spacing w:after="0" w:line="360" w:lineRule="auto"/>
        <w:ind w:right="-20"/>
        <w:rPr>
          <w:rFonts w:ascii="Times New Roman" w:eastAsia="Times New Roman" w:hAnsi="Times New Roman" w:cs="Times New Roman"/>
        </w:rPr>
      </w:pPr>
      <w:r w:rsidRPr="005A0FC6">
        <w:rPr>
          <w:rFonts w:ascii="Times New Roman" w:eastAsia="Times New Roman" w:hAnsi="Times New Roman" w:cs="Times New Roman"/>
        </w:rPr>
        <w:t xml:space="preserve">Evidence maps were created elsewhere, to retain flexibility. As a consequence, they are not yet interactive. </w:t>
      </w:r>
    </w:p>
    <w:p w14:paraId="605B2C4F" w14:textId="77777777" w:rsidR="00E63726" w:rsidRPr="005A0FC6" w:rsidRDefault="00E63726" w:rsidP="00E63726">
      <w:pPr>
        <w:spacing w:line="257" w:lineRule="auto"/>
        <w:rPr>
          <w:rFonts w:ascii="Times New Roman" w:eastAsia="Times New Roman" w:hAnsi="Times New Roman" w:cs="Times New Roman"/>
        </w:rPr>
      </w:pPr>
      <w:r w:rsidRPr="005A0FC6">
        <w:rPr>
          <w:rFonts w:ascii="Times New Roman" w:eastAsia="Times New Roman" w:hAnsi="Times New Roman" w:cs="Times New Roman"/>
        </w:rPr>
        <w:t xml:space="preserve"> </w:t>
      </w:r>
    </w:p>
    <w:p w14:paraId="24BFCAD0" w14:textId="77777777" w:rsidR="00E63726" w:rsidRPr="005A0FC6" w:rsidRDefault="00E63726" w:rsidP="00E63726">
      <w:pPr>
        <w:spacing w:after="0" w:line="257" w:lineRule="auto"/>
        <w:rPr>
          <w:rFonts w:ascii="Times New Roman" w:eastAsia="Times New Roman" w:hAnsi="Times New Roman" w:cs="Times New Roman"/>
          <w:lang w:val="en-US"/>
        </w:rPr>
      </w:pPr>
    </w:p>
    <w:p w14:paraId="6CD4478E" w14:textId="77777777" w:rsidR="00E63726" w:rsidRPr="005A0FC6" w:rsidRDefault="00E63726" w:rsidP="00E63726">
      <w:pPr>
        <w:spacing w:line="257" w:lineRule="auto"/>
        <w:rPr>
          <w:lang w:val="en-US"/>
        </w:rPr>
      </w:pPr>
      <w:r w:rsidRPr="005A0FC6">
        <w:rPr>
          <w:rFonts w:ascii="Calibri" w:eastAsia="Calibri" w:hAnsi="Calibri" w:cs="Calibri"/>
          <w:lang w:val="en-US"/>
        </w:rPr>
        <w:t xml:space="preserve"> </w:t>
      </w:r>
    </w:p>
    <w:p w14:paraId="26CA030E" w14:textId="77777777" w:rsidR="00E63726" w:rsidRPr="005A0FC6" w:rsidRDefault="00E63726" w:rsidP="00E63726">
      <w:pPr>
        <w:rPr>
          <w:lang w:val="en-US"/>
        </w:rPr>
      </w:pPr>
      <w:r w:rsidRPr="005A0FC6">
        <w:rPr>
          <w:lang w:val="en-US"/>
        </w:rPr>
        <w:br w:type="page"/>
      </w:r>
    </w:p>
    <w:p w14:paraId="2EE3FC4A" w14:textId="77777777" w:rsidR="00E63726" w:rsidRPr="005A0FC6" w:rsidRDefault="00E63726" w:rsidP="00E63726">
      <w:pPr>
        <w:pStyle w:val="Kop1"/>
        <w:spacing w:line="257" w:lineRule="auto"/>
        <w:rPr>
          <w:lang w:val="en-US"/>
        </w:rPr>
      </w:pPr>
      <w:r w:rsidRPr="7C5BD209">
        <w:rPr>
          <w:rFonts w:ascii="Calibri Light" w:eastAsia="Calibri Light" w:hAnsi="Calibri Light" w:cs="Calibri Light"/>
          <w:lang w:val="en-GB"/>
        </w:rPr>
        <w:lastRenderedPageBreak/>
        <w:t>2.Search Strategies</w:t>
      </w:r>
    </w:p>
    <w:p w14:paraId="7B52724E" w14:textId="77777777" w:rsidR="00E63726" w:rsidRPr="005A0FC6" w:rsidRDefault="00E63726" w:rsidP="00E63726">
      <w:pPr>
        <w:spacing w:line="257" w:lineRule="auto"/>
        <w:rPr>
          <w:lang w:val="en-US"/>
        </w:rPr>
      </w:pPr>
      <w:r w:rsidRPr="19D72ED3">
        <w:rPr>
          <w:rFonts w:ascii="Calibri" w:eastAsia="Calibri" w:hAnsi="Calibri" w:cs="Calibri"/>
        </w:rPr>
        <w:t xml:space="preserve"> </w:t>
      </w:r>
    </w:p>
    <w:p w14:paraId="24F808DB" w14:textId="77777777" w:rsidR="00E63726" w:rsidRPr="005A0FC6" w:rsidRDefault="00E63726" w:rsidP="00E63726">
      <w:pPr>
        <w:spacing w:line="257" w:lineRule="auto"/>
        <w:rPr>
          <w:lang w:val="en-US"/>
        </w:rPr>
      </w:pPr>
      <w:r w:rsidRPr="19D72ED3">
        <w:rPr>
          <w:rFonts w:ascii="Calibri" w:eastAsia="Calibri" w:hAnsi="Calibri" w:cs="Calibri"/>
          <w:b/>
          <w:bCs/>
          <w:i/>
          <w:iCs/>
          <w:lang w:val="en-US"/>
        </w:rPr>
        <w:t xml:space="preserve">EMBASE through Ovid: </w:t>
      </w:r>
      <w:r w:rsidRPr="19D72ED3">
        <w:rPr>
          <w:rFonts w:ascii="Calibri" w:eastAsia="Calibri" w:hAnsi="Calibri" w:cs="Calibri"/>
          <w:b/>
          <w:bCs/>
          <w:i/>
          <w:iCs/>
          <w:color w:val="000000" w:themeColor="text1"/>
          <w:lang w:val="en-US"/>
        </w:rPr>
        <w:t>Embase Classic+Embase &lt;1947 to 2023 August 14&gt;</w:t>
      </w:r>
    </w:p>
    <w:tbl>
      <w:tblPr>
        <w:tblW w:w="0" w:type="auto"/>
        <w:tblLayout w:type="fixed"/>
        <w:tblLook w:val="04A0" w:firstRow="1" w:lastRow="0" w:firstColumn="1" w:lastColumn="0" w:noHBand="0" w:noVBand="1"/>
      </w:tblPr>
      <w:tblGrid>
        <w:gridCol w:w="277"/>
        <w:gridCol w:w="7751"/>
        <w:gridCol w:w="986"/>
      </w:tblGrid>
      <w:tr w:rsidR="00E63726" w14:paraId="0ED5447C" w14:textId="77777777" w:rsidTr="00555A56">
        <w:trPr>
          <w:trHeight w:val="330"/>
        </w:trPr>
        <w:tc>
          <w:tcPr>
            <w:tcW w:w="2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5A789066" w14:textId="77777777" w:rsidR="00E63726" w:rsidRDefault="00E63726" w:rsidP="00555A56">
            <w:pPr>
              <w:spacing w:after="0"/>
            </w:pPr>
            <w:r w:rsidRPr="19D72ED3">
              <w:rPr>
                <w:rFonts w:ascii="Calibri" w:eastAsia="Calibri" w:hAnsi="Calibri" w:cs="Calibri"/>
                <w:b/>
                <w:bCs/>
                <w:color w:val="000000" w:themeColor="text1"/>
                <w:sz w:val="20"/>
                <w:szCs w:val="20"/>
              </w:rPr>
              <w:t>#</w:t>
            </w:r>
          </w:p>
        </w:tc>
        <w:tc>
          <w:tcPr>
            <w:tcW w:w="77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5E4886E6" w14:textId="77777777" w:rsidR="00E63726" w:rsidRDefault="00E63726" w:rsidP="00555A56">
            <w:pPr>
              <w:spacing w:after="0"/>
            </w:pPr>
            <w:r w:rsidRPr="19D72ED3">
              <w:rPr>
                <w:rFonts w:ascii="Calibri" w:eastAsia="Calibri" w:hAnsi="Calibri" w:cs="Calibri"/>
                <w:b/>
                <w:bCs/>
                <w:color w:val="000000" w:themeColor="text1"/>
                <w:sz w:val="20"/>
                <w:szCs w:val="20"/>
              </w:rPr>
              <w:t>Searches</w:t>
            </w:r>
          </w:p>
        </w:tc>
        <w:tc>
          <w:tcPr>
            <w:tcW w:w="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1F6C0A56" w14:textId="77777777" w:rsidR="00E63726" w:rsidRDefault="00E63726" w:rsidP="00555A56">
            <w:pPr>
              <w:spacing w:after="0"/>
            </w:pPr>
            <w:r w:rsidRPr="19D72ED3">
              <w:rPr>
                <w:rFonts w:ascii="Calibri" w:eastAsia="Calibri" w:hAnsi="Calibri" w:cs="Calibri"/>
                <w:b/>
                <w:bCs/>
                <w:color w:val="000000" w:themeColor="text1"/>
                <w:sz w:val="20"/>
                <w:szCs w:val="20"/>
              </w:rPr>
              <w:t>Results</w:t>
            </w:r>
          </w:p>
        </w:tc>
      </w:tr>
      <w:tr w:rsidR="00E63726" w14:paraId="49DDB9EC" w14:textId="77777777" w:rsidTr="00555A56">
        <w:trPr>
          <w:trHeight w:val="1350"/>
        </w:trPr>
        <w:tc>
          <w:tcPr>
            <w:tcW w:w="2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26B10837" w14:textId="77777777" w:rsidR="00E63726" w:rsidRDefault="00E63726" w:rsidP="00555A56">
            <w:pPr>
              <w:spacing w:after="0"/>
              <w:jc w:val="right"/>
            </w:pPr>
            <w:r w:rsidRPr="19D72ED3">
              <w:rPr>
                <w:rFonts w:ascii="Calibri" w:eastAsia="Calibri" w:hAnsi="Calibri" w:cs="Calibri"/>
                <w:color w:val="000000" w:themeColor="text1"/>
                <w:sz w:val="20"/>
                <w:szCs w:val="20"/>
              </w:rPr>
              <w:t>1</w:t>
            </w:r>
          </w:p>
        </w:tc>
        <w:tc>
          <w:tcPr>
            <w:tcW w:w="77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7094DE2D" w14:textId="77777777" w:rsidR="00E63726" w:rsidRPr="005A0FC6" w:rsidRDefault="00E63726" w:rsidP="00555A56">
            <w:pPr>
              <w:spacing w:after="0"/>
              <w:rPr>
                <w:lang w:val="en-US"/>
              </w:rPr>
            </w:pPr>
            <w:r w:rsidRPr="19D72ED3">
              <w:rPr>
                <w:rFonts w:ascii="Calibri" w:eastAsia="Calibri" w:hAnsi="Calibri" w:cs="Calibri"/>
                <w:color w:val="000000" w:themeColor="text1"/>
                <w:sz w:val="20"/>
                <w:szCs w:val="20"/>
                <w:lang w:val="en-US"/>
              </w:rPr>
              <w:t xml:space="preserve">(((data or code or workflow or practices or materials or notebook) adj2 (open or share or shared or sharing or preservation or stewardship)) or "open science" or ((computational or data or open or research or conclusion* or inferential or analytic or conceptual or direct or exact or statistical) adj3 (reproducib* or replicability or replicable)) or (research adj5 (transparen* or credib*))).ti,ab. or (reporting adj3 guideline*).ti. </w:t>
            </w:r>
          </w:p>
        </w:tc>
        <w:tc>
          <w:tcPr>
            <w:tcW w:w="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1A1C4708" w14:textId="77777777" w:rsidR="00E63726" w:rsidRDefault="00E63726" w:rsidP="00555A56">
            <w:pPr>
              <w:spacing w:after="0"/>
              <w:jc w:val="right"/>
            </w:pPr>
            <w:r w:rsidRPr="19D72ED3">
              <w:rPr>
                <w:rFonts w:ascii="Calibri" w:eastAsia="Calibri" w:hAnsi="Calibri" w:cs="Calibri"/>
                <w:color w:val="000000" w:themeColor="text1"/>
                <w:sz w:val="20"/>
                <w:szCs w:val="20"/>
              </w:rPr>
              <w:t>37043</w:t>
            </w:r>
          </w:p>
        </w:tc>
      </w:tr>
      <w:tr w:rsidR="00E63726" w14:paraId="219075C6" w14:textId="77777777" w:rsidTr="00555A56">
        <w:trPr>
          <w:trHeight w:val="2040"/>
        </w:trPr>
        <w:tc>
          <w:tcPr>
            <w:tcW w:w="2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5A327F87" w14:textId="77777777" w:rsidR="00E63726" w:rsidRDefault="00E63726" w:rsidP="00555A56">
            <w:pPr>
              <w:spacing w:after="0"/>
              <w:jc w:val="right"/>
            </w:pPr>
            <w:r w:rsidRPr="19D72ED3">
              <w:rPr>
                <w:rFonts w:ascii="Calibri" w:eastAsia="Calibri" w:hAnsi="Calibri" w:cs="Calibri"/>
                <w:color w:val="000000" w:themeColor="text1"/>
                <w:sz w:val="20"/>
                <w:szCs w:val="20"/>
              </w:rPr>
              <w:t>2</w:t>
            </w:r>
          </w:p>
        </w:tc>
        <w:tc>
          <w:tcPr>
            <w:tcW w:w="77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5E53545A" w14:textId="77777777" w:rsidR="00E63726" w:rsidRPr="005A0FC6" w:rsidRDefault="00E63726" w:rsidP="00555A56">
            <w:pPr>
              <w:spacing w:after="0"/>
              <w:rPr>
                <w:lang w:val="en-US"/>
              </w:rPr>
            </w:pPr>
            <w:r w:rsidRPr="19D72ED3">
              <w:rPr>
                <w:rFonts w:ascii="Calibri" w:eastAsia="Calibri" w:hAnsi="Calibri" w:cs="Calibri"/>
                <w:color w:val="000000" w:themeColor="text1"/>
                <w:sz w:val="20"/>
                <w:szCs w:val="20"/>
                <w:lang w:val="en-US"/>
              </w:rPr>
              <w:t xml:space="preserve">Randomized Controlled Trial/ or Controlled Clinical Trial/ or Quasi Experimental Study/ or Pretest Posttest Control Group Design/ or Time Series Analysis/ or Experimental Design/ or Multicenter Study/ or random*.ti,ab. or groups.ab. or (trial or multicentre or multicenter or multi centre or multi center).ti. or (intervention? or effect? or impact? or controlled or control group? or (before adj12 after) or (pre adj5 post) or ((pretest or pre test) and (posttest or post test)) or quasiexperiment* or quasi experiment* or pseudo experiment* or pseudoexperiment* or evaluat* or time series or time point? or repeated measur* or ((experimental or empirical or qualitative) adj5 (study or studies))).ti,ab. </w:t>
            </w:r>
          </w:p>
        </w:tc>
        <w:tc>
          <w:tcPr>
            <w:tcW w:w="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3DD7F9A1" w14:textId="77777777" w:rsidR="00E63726" w:rsidRDefault="00E63726" w:rsidP="00555A56">
            <w:pPr>
              <w:spacing w:after="0"/>
              <w:jc w:val="right"/>
            </w:pPr>
            <w:r w:rsidRPr="19D72ED3">
              <w:rPr>
                <w:rFonts w:ascii="Calibri" w:eastAsia="Calibri" w:hAnsi="Calibri" w:cs="Calibri"/>
                <w:color w:val="000000" w:themeColor="text1"/>
                <w:sz w:val="20"/>
                <w:szCs w:val="20"/>
              </w:rPr>
              <w:t>18022174</w:t>
            </w:r>
          </w:p>
        </w:tc>
      </w:tr>
      <w:tr w:rsidR="00E63726" w14:paraId="52925802" w14:textId="77777777" w:rsidTr="00555A56">
        <w:trPr>
          <w:trHeight w:val="1020"/>
        </w:trPr>
        <w:tc>
          <w:tcPr>
            <w:tcW w:w="2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3E02F011" w14:textId="77777777" w:rsidR="00E63726" w:rsidRDefault="00E63726" w:rsidP="00555A56">
            <w:pPr>
              <w:spacing w:after="0"/>
              <w:jc w:val="right"/>
            </w:pPr>
            <w:r w:rsidRPr="19D72ED3">
              <w:rPr>
                <w:rFonts w:ascii="Calibri" w:eastAsia="Calibri" w:hAnsi="Calibri" w:cs="Calibri"/>
                <w:color w:val="000000" w:themeColor="text1"/>
                <w:sz w:val="20"/>
                <w:szCs w:val="20"/>
              </w:rPr>
              <w:t>3</w:t>
            </w:r>
          </w:p>
        </w:tc>
        <w:tc>
          <w:tcPr>
            <w:tcW w:w="77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11C08C6D" w14:textId="77777777" w:rsidR="00E63726" w:rsidRPr="005A0FC6" w:rsidRDefault="00E63726" w:rsidP="00555A56">
            <w:pPr>
              <w:spacing w:after="0"/>
              <w:rPr>
                <w:lang w:val="en-US"/>
              </w:rPr>
            </w:pPr>
            <w:r w:rsidRPr="19D72ED3">
              <w:rPr>
                <w:rFonts w:ascii="Calibri" w:eastAsia="Calibri" w:hAnsi="Calibri" w:cs="Calibri"/>
                <w:color w:val="000000" w:themeColor="text1"/>
                <w:sz w:val="20"/>
                <w:szCs w:val="20"/>
                <w:lang w:val="en-US"/>
              </w:rPr>
              <w:t xml:space="preserve">exp clinical study/ or (Cohort adj (study or studies)).mp. or (Case control adj (study or studies)).tw. or (follow up adj (study or studies)).tw. or (observational adj (study or studies)).tw. or (epidemiologic$ adj (study or studies)).tw. or (cross sectional adj (study or studies)).tw. or (comparative adj stud*).mp. </w:t>
            </w:r>
          </w:p>
        </w:tc>
        <w:tc>
          <w:tcPr>
            <w:tcW w:w="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22D7F9AE" w14:textId="77777777" w:rsidR="00E63726" w:rsidRDefault="00E63726" w:rsidP="00555A56">
            <w:pPr>
              <w:spacing w:after="0"/>
              <w:jc w:val="right"/>
            </w:pPr>
            <w:r w:rsidRPr="19D72ED3">
              <w:rPr>
                <w:rFonts w:ascii="Calibri" w:eastAsia="Calibri" w:hAnsi="Calibri" w:cs="Calibri"/>
                <w:color w:val="000000" w:themeColor="text1"/>
                <w:sz w:val="20"/>
                <w:szCs w:val="20"/>
              </w:rPr>
              <w:t>13437868</w:t>
            </w:r>
          </w:p>
        </w:tc>
      </w:tr>
      <w:tr w:rsidR="00E63726" w14:paraId="7738DB03" w14:textId="77777777" w:rsidTr="00555A56">
        <w:trPr>
          <w:trHeight w:val="330"/>
        </w:trPr>
        <w:tc>
          <w:tcPr>
            <w:tcW w:w="2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53472FB9" w14:textId="77777777" w:rsidR="00E63726" w:rsidRDefault="00E63726" w:rsidP="00555A56">
            <w:pPr>
              <w:spacing w:after="0"/>
              <w:jc w:val="right"/>
            </w:pPr>
            <w:r w:rsidRPr="19D72ED3">
              <w:rPr>
                <w:rFonts w:ascii="Calibri" w:eastAsia="Calibri" w:hAnsi="Calibri" w:cs="Calibri"/>
                <w:color w:val="000000" w:themeColor="text1"/>
                <w:sz w:val="20"/>
                <w:szCs w:val="20"/>
              </w:rPr>
              <w:t>4</w:t>
            </w:r>
          </w:p>
        </w:tc>
        <w:tc>
          <w:tcPr>
            <w:tcW w:w="77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6CFEB4BB" w14:textId="77777777" w:rsidR="00E63726" w:rsidRDefault="00E63726" w:rsidP="00555A56">
            <w:pPr>
              <w:spacing w:after="0"/>
            </w:pPr>
            <w:r w:rsidRPr="19D72ED3">
              <w:rPr>
                <w:rFonts w:ascii="Calibri" w:eastAsia="Calibri" w:hAnsi="Calibri" w:cs="Calibri"/>
                <w:color w:val="000000" w:themeColor="text1"/>
                <w:sz w:val="20"/>
                <w:szCs w:val="20"/>
              </w:rPr>
              <w:t xml:space="preserve">2 or 3 </w:t>
            </w:r>
          </w:p>
        </w:tc>
        <w:tc>
          <w:tcPr>
            <w:tcW w:w="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026852B0" w14:textId="77777777" w:rsidR="00E63726" w:rsidRDefault="00E63726" w:rsidP="00555A56">
            <w:pPr>
              <w:spacing w:after="0"/>
              <w:jc w:val="right"/>
            </w:pPr>
            <w:r w:rsidRPr="19D72ED3">
              <w:rPr>
                <w:rFonts w:ascii="Calibri" w:eastAsia="Calibri" w:hAnsi="Calibri" w:cs="Calibri"/>
                <w:color w:val="000000" w:themeColor="text1"/>
                <w:sz w:val="20"/>
                <w:szCs w:val="20"/>
              </w:rPr>
              <w:t>24369828</w:t>
            </w:r>
          </w:p>
        </w:tc>
      </w:tr>
      <w:tr w:rsidR="00E63726" w14:paraId="01B332C2" w14:textId="77777777" w:rsidTr="00555A56">
        <w:trPr>
          <w:trHeight w:val="330"/>
        </w:trPr>
        <w:tc>
          <w:tcPr>
            <w:tcW w:w="2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5B370152" w14:textId="77777777" w:rsidR="00E63726" w:rsidRDefault="00E63726" w:rsidP="00555A56">
            <w:pPr>
              <w:spacing w:after="0"/>
              <w:jc w:val="right"/>
            </w:pPr>
            <w:r w:rsidRPr="19D72ED3">
              <w:rPr>
                <w:rFonts w:ascii="Calibri" w:eastAsia="Calibri" w:hAnsi="Calibri" w:cs="Calibri"/>
                <w:color w:val="000000" w:themeColor="text1"/>
                <w:sz w:val="20"/>
                <w:szCs w:val="20"/>
              </w:rPr>
              <w:t>5</w:t>
            </w:r>
          </w:p>
        </w:tc>
        <w:tc>
          <w:tcPr>
            <w:tcW w:w="77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683A81AD" w14:textId="77777777" w:rsidR="00E63726" w:rsidRDefault="00E63726" w:rsidP="00555A56">
            <w:pPr>
              <w:spacing w:after="0"/>
            </w:pPr>
            <w:r w:rsidRPr="19D72ED3">
              <w:rPr>
                <w:rFonts w:ascii="Calibri" w:eastAsia="Calibri" w:hAnsi="Calibri" w:cs="Calibri"/>
                <w:color w:val="000000" w:themeColor="text1"/>
                <w:sz w:val="20"/>
                <w:szCs w:val="20"/>
              </w:rPr>
              <w:t xml:space="preserve">1 and 4 </w:t>
            </w:r>
          </w:p>
        </w:tc>
        <w:tc>
          <w:tcPr>
            <w:tcW w:w="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278DB05A" w14:textId="77777777" w:rsidR="00E63726" w:rsidRDefault="00E63726" w:rsidP="00555A56">
            <w:pPr>
              <w:spacing w:after="0"/>
              <w:jc w:val="right"/>
            </w:pPr>
            <w:r w:rsidRPr="19D72ED3">
              <w:rPr>
                <w:rFonts w:ascii="Calibri" w:eastAsia="Calibri" w:hAnsi="Calibri" w:cs="Calibri"/>
                <w:color w:val="000000" w:themeColor="text1"/>
                <w:sz w:val="20"/>
                <w:szCs w:val="20"/>
              </w:rPr>
              <w:t>23517</w:t>
            </w:r>
          </w:p>
        </w:tc>
      </w:tr>
      <w:tr w:rsidR="00E63726" w14:paraId="4046626E" w14:textId="77777777" w:rsidTr="00555A56">
        <w:trPr>
          <w:trHeight w:val="330"/>
        </w:trPr>
        <w:tc>
          <w:tcPr>
            <w:tcW w:w="2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52AEE995" w14:textId="77777777" w:rsidR="00E63726" w:rsidRDefault="00E63726" w:rsidP="00555A56">
            <w:pPr>
              <w:spacing w:after="0"/>
              <w:jc w:val="right"/>
            </w:pPr>
            <w:r w:rsidRPr="19D72ED3">
              <w:rPr>
                <w:rFonts w:ascii="Calibri" w:eastAsia="Calibri" w:hAnsi="Calibri" w:cs="Calibri"/>
                <w:color w:val="000000" w:themeColor="text1"/>
                <w:sz w:val="20"/>
                <w:szCs w:val="20"/>
              </w:rPr>
              <w:t>6</w:t>
            </w:r>
          </w:p>
        </w:tc>
        <w:tc>
          <w:tcPr>
            <w:tcW w:w="77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1B43E04F" w14:textId="77777777" w:rsidR="00E63726" w:rsidRDefault="00E63726" w:rsidP="00555A56">
            <w:pPr>
              <w:spacing w:after="0"/>
            </w:pPr>
            <w:r w:rsidRPr="19D72ED3">
              <w:rPr>
                <w:rFonts w:ascii="Calibri" w:eastAsia="Calibri" w:hAnsi="Calibri" w:cs="Calibri"/>
                <w:color w:val="000000" w:themeColor="text1"/>
                <w:sz w:val="20"/>
                <w:szCs w:val="20"/>
              </w:rPr>
              <w:t xml:space="preserve">limit 5 to embase </w:t>
            </w:r>
          </w:p>
        </w:tc>
        <w:tc>
          <w:tcPr>
            <w:tcW w:w="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160105C0" w14:textId="77777777" w:rsidR="00E63726" w:rsidRDefault="00E63726" w:rsidP="00555A56">
            <w:pPr>
              <w:spacing w:after="0"/>
              <w:jc w:val="right"/>
            </w:pPr>
            <w:r w:rsidRPr="19D72ED3">
              <w:rPr>
                <w:rFonts w:ascii="Calibri" w:eastAsia="Calibri" w:hAnsi="Calibri" w:cs="Calibri"/>
                <w:color w:val="000000" w:themeColor="text1"/>
                <w:sz w:val="20"/>
                <w:szCs w:val="20"/>
              </w:rPr>
              <w:t>12618</w:t>
            </w:r>
          </w:p>
        </w:tc>
      </w:tr>
    </w:tbl>
    <w:p w14:paraId="673ADAF8" w14:textId="77777777" w:rsidR="00E63726" w:rsidRDefault="00E63726" w:rsidP="00E63726">
      <w:pPr>
        <w:spacing w:line="257" w:lineRule="auto"/>
      </w:pPr>
      <w:r w:rsidRPr="19D72ED3">
        <w:rPr>
          <w:rFonts w:ascii="Calibri" w:eastAsia="Calibri" w:hAnsi="Calibri" w:cs="Calibri"/>
        </w:rPr>
        <w:t xml:space="preserve"> </w:t>
      </w:r>
    </w:p>
    <w:p w14:paraId="57EF4119" w14:textId="77777777" w:rsidR="00E63726" w:rsidRPr="005A0FC6" w:rsidRDefault="00E63726" w:rsidP="00E63726">
      <w:pPr>
        <w:spacing w:line="257" w:lineRule="auto"/>
        <w:rPr>
          <w:lang w:val="en-US"/>
        </w:rPr>
      </w:pPr>
      <w:r w:rsidRPr="19D72ED3">
        <w:rPr>
          <w:rFonts w:ascii="Calibri" w:eastAsia="Calibri" w:hAnsi="Calibri" w:cs="Calibri"/>
          <w:b/>
          <w:bCs/>
          <w:i/>
          <w:iCs/>
          <w:lang w:val="en-US"/>
        </w:rPr>
        <w:t xml:space="preserve">Medline: </w:t>
      </w:r>
      <w:r w:rsidRPr="19D72ED3">
        <w:rPr>
          <w:rFonts w:ascii="Calibri" w:eastAsia="Calibri" w:hAnsi="Calibri" w:cs="Calibri"/>
          <w:b/>
          <w:bCs/>
          <w:i/>
          <w:iCs/>
          <w:color w:val="000000" w:themeColor="text1"/>
          <w:lang w:val="en-US"/>
        </w:rPr>
        <w:t>Ovid MEDLINE(R) ALL &lt;1946 to August 14, 2023&gt;</w:t>
      </w:r>
    </w:p>
    <w:tbl>
      <w:tblPr>
        <w:tblW w:w="0" w:type="auto"/>
        <w:tblLayout w:type="fixed"/>
        <w:tblLook w:val="04A0" w:firstRow="1" w:lastRow="0" w:firstColumn="1" w:lastColumn="0" w:noHBand="0" w:noVBand="1"/>
      </w:tblPr>
      <w:tblGrid>
        <w:gridCol w:w="279"/>
        <w:gridCol w:w="7296"/>
        <w:gridCol w:w="992"/>
      </w:tblGrid>
      <w:tr w:rsidR="00E63726" w14:paraId="224FD9CD" w14:textId="77777777" w:rsidTr="00555A56">
        <w:trPr>
          <w:trHeight w:val="330"/>
        </w:trPr>
        <w:tc>
          <w:tcPr>
            <w:tcW w:w="2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10A1303B" w14:textId="77777777" w:rsidR="00E63726" w:rsidRDefault="00E63726" w:rsidP="00555A56">
            <w:pPr>
              <w:spacing w:after="0"/>
            </w:pPr>
            <w:r w:rsidRPr="19D72ED3">
              <w:rPr>
                <w:rFonts w:ascii="Calibri" w:eastAsia="Calibri" w:hAnsi="Calibri" w:cs="Calibri"/>
                <w:b/>
                <w:bCs/>
                <w:color w:val="000000" w:themeColor="text1"/>
                <w:sz w:val="20"/>
                <w:szCs w:val="20"/>
              </w:rPr>
              <w:t>#</w:t>
            </w:r>
          </w:p>
        </w:tc>
        <w:tc>
          <w:tcPr>
            <w:tcW w:w="72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12C3FA3D" w14:textId="77777777" w:rsidR="00E63726" w:rsidRDefault="00E63726" w:rsidP="00555A56">
            <w:pPr>
              <w:spacing w:after="0"/>
            </w:pPr>
            <w:r w:rsidRPr="19D72ED3">
              <w:rPr>
                <w:rFonts w:ascii="Calibri" w:eastAsia="Calibri" w:hAnsi="Calibri" w:cs="Calibri"/>
                <w:b/>
                <w:bCs/>
                <w:color w:val="000000" w:themeColor="text1"/>
                <w:sz w:val="20"/>
                <w:szCs w:val="20"/>
              </w:rPr>
              <w:t>Searches</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0363AF7C" w14:textId="77777777" w:rsidR="00E63726" w:rsidRDefault="00E63726" w:rsidP="00555A56">
            <w:pPr>
              <w:spacing w:after="0"/>
            </w:pPr>
            <w:r w:rsidRPr="19D72ED3">
              <w:rPr>
                <w:rFonts w:ascii="Calibri" w:eastAsia="Calibri" w:hAnsi="Calibri" w:cs="Calibri"/>
                <w:b/>
                <w:bCs/>
                <w:color w:val="000000" w:themeColor="text1"/>
                <w:sz w:val="20"/>
                <w:szCs w:val="20"/>
              </w:rPr>
              <w:t>Results</w:t>
            </w:r>
          </w:p>
        </w:tc>
      </w:tr>
      <w:tr w:rsidR="00E63726" w14:paraId="702BD759" w14:textId="77777777" w:rsidTr="00555A56">
        <w:trPr>
          <w:trHeight w:val="1350"/>
        </w:trPr>
        <w:tc>
          <w:tcPr>
            <w:tcW w:w="2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6C635853" w14:textId="77777777" w:rsidR="00E63726" w:rsidRDefault="00E63726" w:rsidP="00555A56">
            <w:pPr>
              <w:spacing w:after="0"/>
              <w:jc w:val="right"/>
            </w:pPr>
            <w:r w:rsidRPr="19D72ED3">
              <w:rPr>
                <w:rFonts w:ascii="Calibri" w:eastAsia="Calibri" w:hAnsi="Calibri" w:cs="Calibri"/>
                <w:color w:val="000000" w:themeColor="text1"/>
                <w:sz w:val="20"/>
                <w:szCs w:val="20"/>
              </w:rPr>
              <w:t>1</w:t>
            </w:r>
          </w:p>
        </w:tc>
        <w:tc>
          <w:tcPr>
            <w:tcW w:w="72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3A40539A" w14:textId="77777777" w:rsidR="00E63726" w:rsidRPr="005A0FC6" w:rsidRDefault="00E63726" w:rsidP="00555A56">
            <w:pPr>
              <w:spacing w:after="0"/>
              <w:rPr>
                <w:lang w:val="en-US"/>
              </w:rPr>
            </w:pPr>
            <w:r w:rsidRPr="19D72ED3">
              <w:rPr>
                <w:rFonts w:ascii="Calibri" w:eastAsia="Calibri" w:hAnsi="Calibri" w:cs="Calibri"/>
                <w:color w:val="000000" w:themeColor="text1"/>
                <w:sz w:val="20"/>
                <w:szCs w:val="20"/>
                <w:lang w:val="en-US"/>
              </w:rPr>
              <w:t xml:space="preserve">(((data or code or workflow or practices or materials or notebook) adj2 (open or share or shared or sharing or preservation or stewardship)) or "open science" or ((computational or data or open or research or conclusion* or inferential or analytic or conceptual or direct or exact or statistical) adj3 (reproducib* or replicability or replicable)) or (research adj5 (transparen* or credib*))).ti,ab. or (reporting adj3 guideline*).ti.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50D400B4" w14:textId="77777777" w:rsidR="00E63726" w:rsidRDefault="00E63726" w:rsidP="00555A56">
            <w:pPr>
              <w:spacing w:after="0"/>
              <w:jc w:val="right"/>
            </w:pPr>
            <w:r w:rsidRPr="19D72ED3">
              <w:rPr>
                <w:rFonts w:ascii="Calibri" w:eastAsia="Calibri" w:hAnsi="Calibri" w:cs="Calibri"/>
                <w:color w:val="000000" w:themeColor="text1"/>
                <w:sz w:val="20"/>
                <w:szCs w:val="20"/>
              </w:rPr>
              <w:t>29136</w:t>
            </w:r>
          </w:p>
        </w:tc>
      </w:tr>
      <w:tr w:rsidR="00E63726" w14:paraId="3DCD2E0D" w14:textId="77777777" w:rsidTr="00555A56">
        <w:trPr>
          <w:trHeight w:val="3390"/>
        </w:trPr>
        <w:tc>
          <w:tcPr>
            <w:tcW w:w="2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5CF168FE" w14:textId="77777777" w:rsidR="00E63726" w:rsidRDefault="00E63726" w:rsidP="00555A56">
            <w:pPr>
              <w:spacing w:after="0"/>
              <w:jc w:val="right"/>
            </w:pPr>
            <w:r w:rsidRPr="19D72ED3">
              <w:rPr>
                <w:rFonts w:ascii="Calibri" w:eastAsia="Calibri" w:hAnsi="Calibri" w:cs="Calibri"/>
                <w:color w:val="000000" w:themeColor="text1"/>
                <w:sz w:val="20"/>
                <w:szCs w:val="20"/>
              </w:rPr>
              <w:t>2</w:t>
            </w:r>
          </w:p>
        </w:tc>
        <w:tc>
          <w:tcPr>
            <w:tcW w:w="72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3455B543" w14:textId="77777777" w:rsidR="00E63726" w:rsidRPr="005A0FC6" w:rsidRDefault="00E63726" w:rsidP="00555A56">
            <w:pPr>
              <w:spacing w:after="0"/>
              <w:rPr>
                <w:lang w:val="en-US"/>
              </w:rPr>
            </w:pPr>
            <w:r w:rsidRPr="19D72ED3">
              <w:rPr>
                <w:rFonts w:ascii="Calibri" w:eastAsia="Calibri" w:hAnsi="Calibri" w:cs="Calibri"/>
                <w:color w:val="000000" w:themeColor="text1"/>
                <w:sz w:val="20"/>
                <w:szCs w:val="20"/>
                <w:lang w:val="en-US"/>
              </w:rPr>
              <w:t xml:space="preserve">(Clinical study/ or Case control study/ or Family study/ or Longitudinal study/ or Retrospective study/ or Prospective study/ or Cohort analysis/ or Comparative Study/ or (Cohort adj (study or studies)).mp. or (Case control adj (study or studies)).tw. or (follow up adj (study or studies)).tw. or (observational adj (study or studies)).tw. or (epidemiologic$ adj (study or studies)).tw. or (cross sectional adj (study or studies)).tw. or (comparative adj stud*).mp. or (("randomized controlled trial" or "controlled clinical trial" or "multicenter study" or "pragmatic clinical trial").pt. or non-randomized controlled trials as topic/ or interrupted time series analysis/ or controlled before-after studies/ or random*.ti,ab. or groups.ab. or (trial or multicenter or "multi center" or multicentre or "multi centre").ti. or (intervention? or effect? or impact? or controlled or control group? or (before adj12 after) or (pre adj5 post) or ((pretest or "pre test") and (posttest or "post test")) or quasiexperiment* or quasi experiment* or pseudo-experiment* or pseudoexperiment* or evaluat* or "time series" or time-point? or </w:t>
            </w:r>
            <w:r w:rsidRPr="19D72ED3">
              <w:rPr>
                <w:rFonts w:ascii="Calibri" w:eastAsia="Calibri" w:hAnsi="Calibri" w:cs="Calibri"/>
                <w:color w:val="000000" w:themeColor="text1"/>
                <w:sz w:val="20"/>
                <w:szCs w:val="20"/>
                <w:lang w:val="en-US"/>
              </w:rPr>
              <w:lastRenderedPageBreak/>
              <w:t xml:space="preserve">"repeated measur*" or ((experimental or empirical or qualitative) adj5 (study or studies))).ti,ab.)) not ((news or comment or editorial).pt. or comment on.cm.)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57178EC6" w14:textId="77777777" w:rsidR="00E63726" w:rsidRDefault="00E63726" w:rsidP="00555A56">
            <w:pPr>
              <w:spacing w:after="0"/>
              <w:jc w:val="right"/>
            </w:pPr>
            <w:r w:rsidRPr="19D72ED3">
              <w:rPr>
                <w:rFonts w:ascii="Calibri" w:eastAsia="Calibri" w:hAnsi="Calibri" w:cs="Calibri"/>
                <w:color w:val="000000" w:themeColor="text1"/>
                <w:sz w:val="20"/>
                <w:szCs w:val="20"/>
              </w:rPr>
              <w:lastRenderedPageBreak/>
              <w:t>15108526</w:t>
            </w:r>
          </w:p>
        </w:tc>
      </w:tr>
      <w:tr w:rsidR="00E63726" w14:paraId="3F618391" w14:textId="77777777" w:rsidTr="00555A56">
        <w:trPr>
          <w:trHeight w:val="330"/>
        </w:trPr>
        <w:tc>
          <w:tcPr>
            <w:tcW w:w="2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036C86B0" w14:textId="77777777" w:rsidR="00E63726" w:rsidRDefault="00E63726" w:rsidP="00555A56">
            <w:pPr>
              <w:spacing w:after="0"/>
              <w:jc w:val="right"/>
            </w:pPr>
            <w:r w:rsidRPr="19D72ED3">
              <w:rPr>
                <w:rFonts w:ascii="Calibri" w:eastAsia="Calibri" w:hAnsi="Calibri" w:cs="Calibri"/>
                <w:color w:val="000000" w:themeColor="text1"/>
                <w:sz w:val="20"/>
                <w:szCs w:val="20"/>
              </w:rPr>
              <w:t>3</w:t>
            </w:r>
          </w:p>
        </w:tc>
        <w:tc>
          <w:tcPr>
            <w:tcW w:w="72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7577B8DE" w14:textId="77777777" w:rsidR="00E63726" w:rsidRDefault="00E63726" w:rsidP="00555A56">
            <w:pPr>
              <w:spacing w:after="0"/>
            </w:pPr>
            <w:r w:rsidRPr="19D72ED3">
              <w:rPr>
                <w:rFonts w:ascii="Calibri" w:eastAsia="Calibri" w:hAnsi="Calibri" w:cs="Calibri"/>
                <w:color w:val="000000" w:themeColor="text1"/>
                <w:sz w:val="20"/>
                <w:szCs w:val="20"/>
              </w:rPr>
              <w:t xml:space="preserve">1 and 2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0CFC1FED" w14:textId="77777777" w:rsidR="00E63726" w:rsidRDefault="00E63726" w:rsidP="00555A56">
            <w:pPr>
              <w:spacing w:after="0"/>
              <w:jc w:val="right"/>
            </w:pPr>
            <w:r w:rsidRPr="19D72ED3">
              <w:rPr>
                <w:rFonts w:ascii="Calibri" w:eastAsia="Calibri" w:hAnsi="Calibri" w:cs="Calibri"/>
                <w:color w:val="000000" w:themeColor="text1"/>
                <w:sz w:val="20"/>
                <w:szCs w:val="20"/>
              </w:rPr>
              <w:t>15811</w:t>
            </w:r>
          </w:p>
        </w:tc>
      </w:tr>
    </w:tbl>
    <w:p w14:paraId="1B011B8F" w14:textId="77777777" w:rsidR="00E63726" w:rsidRDefault="00E63726" w:rsidP="00E63726">
      <w:pPr>
        <w:spacing w:line="257" w:lineRule="auto"/>
      </w:pPr>
      <w:r w:rsidRPr="19D72ED3">
        <w:rPr>
          <w:rFonts w:ascii="Calibri" w:eastAsia="Calibri" w:hAnsi="Calibri" w:cs="Calibri"/>
          <w:color w:val="000000" w:themeColor="text1"/>
          <w:lang w:val="en-US"/>
        </w:rPr>
        <w:t xml:space="preserve"> </w:t>
      </w:r>
    </w:p>
    <w:p w14:paraId="148AF42D" w14:textId="77777777" w:rsidR="00E63726" w:rsidRDefault="00E63726" w:rsidP="00E63726">
      <w:pPr>
        <w:spacing w:line="257" w:lineRule="auto"/>
      </w:pPr>
      <w:r w:rsidRPr="19D72ED3">
        <w:rPr>
          <w:rFonts w:ascii="Calibri" w:eastAsia="Calibri" w:hAnsi="Calibri" w:cs="Calibri"/>
          <w:b/>
          <w:bCs/>
          <w:i/>
          <w:iCs/>
          <w:color w:val="000000" w:themeColor="text1"/>
        </w:rPr>
        <w:t>ERIC &lt;1965 to July 2023&gt;</w:t>
      </w:r>
    </w:p>
    <w:tbl>
      <w:tblPr>
        <w:tblW w:w="0" w:type="auto"/>
        <w:tblLayout w:type="fixed"/>
        <w:tblLook w:val="04A0" w:firstRow="1" w:lastRow="0" w:firstColumn="1" w:lastColumn="0" w:noHBand="0" w:noVBand="1"/>
      </w:tblPr>
      <w:tblGrid>
        <w:gridCol w:w="279"/>
        <w:gridCol w:w="7296"/>
        <w:gridCol w:w="992"/>
      </w:tblGrid>
      <w:tr w:rsidR="00E63726" w14:paraId="14088324" w14:textId="77777777" w:rsidTr="00555A56">
        <w:trPr>
          <w:trHeight w:val="330"/>
        </w:trPr>
        <w:tc>
          <w:tcPr>
            <w:tcW w:w="2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31C610CE" w14:textId="77777777" w:rsidR="00E63726" w:rsidRDefault="00E63726" w:rsidP="00555A56">
            <w:pPr>
              <w:spacing w:after="0"/>
            </w:pPr>
            <w:r w:rsidRPr="19D72ED3">
              <w:rPr>
                <w:rFonts w:ascii="Calibri" w:eastAsia="Calibri" w:hAnsi="Calibri" w:cs="Calibri"/>
                <w:b/>
                <w:bCs/>
                <w:color w:val="000000" w:themeColor="text1"/>
                <w:sz w:val="20"/>
                <w:szCs w:val="20"/>
              </w:rPr>
              <w:t>#</w:t>
            </w:r>
          </w:p>
        </w:tc>
        <w:tc>
          <w:tcPr>
            <w:tcW w:w="72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167F79FE" w14:textId="77777777" w:rsidR="00E63726" w:rsidRDefault="00E63726" w:rsidP="00555A56">
            <w:pPr>
              <w:spacing w:after="0"/>
            </w:pPr>
            <w:r w:rsidRPr="19D72ED3">
              <w:rPr>
                <w:rFonts w:ascii="Calibri" w:eastAsia="Calibri" w:hAnsi="Calibri" w:cs="Calibri"/>
                <w:b/>
                <w:bCs/>
                <w:color w:val="000000" w:themeColor="text1"/>
                <w:sz w:val="20"/>
                <w:szCs w:val="20"/>
              </w:rPr>
              <w:t>Searches</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3377BFDE" w14:textId="77777777" w:rsidR="00E63726" w:rsidRDefault="00E63726" w:rsidP="00555A56">
            <w:pPr>
              <w:spacing w:after="0"/>
            </w:pPr>
            <w:r w:rsidRPr="19D72ED3">
              <w:rPr>
                <w:rFonts w:ascii="Calibri" w:eastAsia="Calibri" w:hAnsi="Calibri" w:cs="Calibri"/>
                <w:b/>
                <w:bCs/>
                <w:color w:val="000000" w:themeColor="text1"/>
                <w:sz w:val="20"/>
                <w:szCs w:val="20"/>
              </w:rPr>
              <w:t>Results</w:t>
            </w:r>
          </w:p>
        </w:tc>
      </w:tr>
      <w:tr w:rsidR="00E63726" w14:paraId="1F51D2DE" w14:textId="77777777" w:rsidTr="00555A56">
        <w:trPr>
          <w:trHeight w:val="1350"/>
        </w:trPr>
        <w:tc>
          <w:tcPr>
            <w:tcW w:w="2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259BA73D" w14:textId="77777777" w:rsidR="00E63726" w:rsidRDefault="00E63726" w:rsidP="00555A56">
            <w:pPr>
              <w:spacing w:after="0"/>
              <w:jc w:val="right"/>
            </w:pPr>
            <w:r w:rsidRPr="19D72ED3">
              <w:rPr>
                <w:rFonts w:ascii="Calibri" w:eastAsia="Calibri" w:hAnsi="Calibri" w:cs="Calibri"/>
                <w:color w:val="000000" w:themeColor="text1"/>
                <w:sz w:val="20"/>
                <w:szCs w:val="20"/>
              </w:rPr>
              <w:t>1</w:t>
            </w:r>
          </w:p>
        </w:tc>
        <w:tc>
          <w:tcPr>
            <w:tcW w:w="72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5F6B9A9D" w14:textId="77777777" w:rsidR="00E63726" w:rsidRPr="005A0FC6" w:rsidRDefault="00E63726" w:rsidP="00555A56">
            <w:pPr>
              <w:spacing w:after="0"/>
              <w:rPr>
                <w:lang w:val="en-US"/>
              </w:rPr>
            </w:pPr>
            <w:r w:rsidRPr="19D72ED3">
              <w:rPr>
                <w:rFonts w:ascii="Calibri" w:eastAsia="Calibri" w:hAnsi="Calibri" w:cs="Calibri"/>
                <w:color w:val="000000" w:themeColor="text1"/>
                <w:sz w:val="20"/>
                <w:szCs w:val="20"/>
                <w:lang w:val="en-US"/>
              </w:rPr>
              <w:t xml:space="preserve">(((data or code or workflow or practices or materials or notebook) adj2 (open or share or shared or sharing or preservation or stewardship)) or "open science" or ((computational or data or open or research or conclusion* or inferential or analytic or conceptual or direct or exact or statistical) adj3 (reproducib* or replicability or replicable)) or (research adj5 (transparen* or credib*))).ti,ab. or (reporting adj3 guideline*).ti.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3E174F81" w14:textId="77777777" w:rsidR="00E63726" w:rsidRDefault="00E63726" w:rsidP="00555A56">
            <w:pPr>
              <w:spacing w:after="0"/>
              <w:jc w:val="right"/>
            </w:pPr>
            <w:r w:rsidRPr="19D72ED3">
              <w:rPr>
                <w:rFonts w:ascii="Calibri" w:eastAsia="Calibri" w:hAnsi="Calibri" w:cs="Calibri"/>
                <w:color w:val="000000" w:themeColor="text1"/>
                <w:sz w:val="20"/>
                <w:szCs w:val="20"/>
              </w:rPr>
              <w:t>3020</w:t>
            </w:r>
          </w:p>
        </w:tc>
      </w:tr>
      <w:tr w:rsidR="00E63726" w14:paraId="74166BBD" w14:textId="77777777" w:rsidTr="00555A56">
        <w:trPr>
          <w:trHeight w:val="3390"/>
        </w:trPr>
        <w:tc>
          <w:tcPr>
            <w:tcW w:w="2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211361AC" w14:textId="77777777" w:rsidR="00E63726" w:rsidRDefault="00E63726" w:rsidP="00555A56">
            <w:pPr>
              <w:spacing w:after="0"/>
              <w:jc w:val="right"/>
            </w:pPr>
            <w:r w:rsidRPr="19D72ED3">
              <w:rPr>
                <w:rFonts w:ascii="Calibri" w:eastAsia="Calibri" w:hAnsi="Calibri" w:cs="Calibri"/>
                <w:color w:val="000000" w:themeColor="text1"/>
                <w:sz w:val="20"/>
                <w:szCs w:val="20"/>
              </w:rPr>
              <w:t>2</w:t>
            </w:r>
          </w:p>
        </w:tc>
        <w:tc>
          <w:tcPr>
            <w:tcW w:w="72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7F96C0D9" w14:textId="77777777" w:rsidR="00E63726" w:rsidRPr="005A0FC6" w:rsidRDefault="00E63726" w:rsidP="00555A56">
            <w:pPr>
              <w:spacing w:after="0"/>
              <w:rPr>
                <w:lang w:val="en-US"/>
              </w:rPr>
            </w:pPr>
            <w:r w:rsidRPr="19D72ED3">
              <w:rPr>
                <w:rFonts w:ascii="Calibri" w:eastAsia="Calibri" w:hAnsi="Calibri" w:cs="Calibri"/>
                <w:color w:val="000000" w:themeColor="text1"/>
                <w:sz w:val="20"/>
                <w:szCs w:val="20"/>
                <w:lang w:val="en-US"/>
              </w:rPr>
              <w:t xml:space="preserve">(Clinical study/ or Case control study/ or Family study/ or Longitudinal study/ or Retrospective study/ or Prospective study/ or Cohort analysis/ or Comparative Study/ or (Cohort adj (study or studies)).mp. or (Case control adj (study or studies)).tw. or (follow up adj (study or studies)).tw. or (observational adj (study or studies)).tw. or (epidemiologic$ adj (study or studies)).tw. or (cross sectional adj (study or studies)).tw. or (comparative adj stud*).mp. or (("randomized controlled trial" or "controlled clinical trial" or "multicenter study" or "pragmatic clinical trial").pt. or non-randomized controlled trials as topic/ or interrupted time series analysis/ or controlled before-after studies/ or random*.ti,ab. or groups.ab. or (trial or multicenter or "multi center" or multicentre or "multi centre").ti. or (intervention? or effect? or impact? or controlled or control group? or (before adj12 after) or (pre adj5 post) or ((pretest or "pre test") and (posttest or "post test")) or quasiexperiment* or quasi experiment* or pseudo-experiment* or pseudoexperiment* or evaluat* or "time series" or time-point? or "repeated measur*" or ((experimental or empirical or qualitative) adj5 (study or studies))).ti,ab.)) not (news or comment or editorial).pt.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55713BF8" w14:textId="77777777" w:rsidR="00E63726" w:rsidRDefault="00E63726" w:rsidP="00555A56">
            <w:pPr>
              <w:spacing w:after="0"/>
              <w:jc w:val="right"/>
            </w:pPr>
            <w:r w:rsidRPr="19D72ED3">
              <w:rPr>
                <w:rFonts w:ascii="Calibri" w:eastAsia="Calibri" w:hAnsi="Calibri" w:cs="Calibri"/>
                <w:color w:val="000000" w:themeColor="text1"/>
                <w:sz w:val="20"/>
                <w:szCs w:val="20"/>
              </w:rPr>
              <w:t>743872</w:t>
            </w:r>
          </w:p>
        </w:tc>
      </w:tr>
      <w:tr w:rsidR="00E63726" w14:paraId="0C825D2E" w14:textId="77777777" w:rsidTr="00555A56">
        <w:trPr>
          <w:trHeight w:val="330"/>
        </w:trPr>
        <w:tc>
          <w:tcPr>
            <w:tcW w:w="2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1B3018EA" w14:textId="77777777" w:rsidR="00E63726" w:rsidRDefault="00E63726" w:rsidP="00555A56">
            <w:pPr>
              <w:spacing w:after="0"/>
              <w:jc w:val="right"/>
            </w:pPr>
            <w:r w:rsidRPr="19D72ED3">
              <w:rPr>
                <w:rFonts w:ascii="Calibri" w:eastAsia="Calibri" w:hAnsi="Calibri" w:cs="Calibri"/>
                <w:color w:val="000000" w:themeColor="text1"/>
                <w:sz w:val="20"/>
                <w:szCs w:val="20"/>
              </w:rPr>
              <w:t>3</w:t>
            </w:r>
          </w:p>
        </w:tc>
        <w:tc>
          <w:tcPr>
            <w:tcW w:w="72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1F38882D" w14:textId="77777777" w:rsidR="00E63726" w:rsidRDefault="00E63726" w:rsidP="00555A56">
            <w:pPr>
              <w:spacing w:after="0"/>
            </w:pPr>
            <w:r w:rsidRPr="19D72ED3">
              <w:rPr>
                <w:rFonts w:ascii="Calibri" w:eastAsia="Calibri" w:hAnsi="Calibri" w:cs="Calibri"/>
                <w:color w:val="000000" w:themeColor="text1"/>
                <w:sz w:val="20"/>
                <w:szCs w:val="20"/>
              </w:rPr>
              <w:t xml:space="preserve">1 and 2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56CCDE8B" w14:textId="77777777" w:rsidR="00E63726" w:rsidRDefault="00E63726" w:rsidP="00555A56">
            <w:pPr>
              <w:spacing w:after="0"/>
              <w:jc w:val="right"/>
            </w:pPr>
            <w:r w:rsidRPr="19D72ED3">
              <w:rPr>
                <w:rFonts w:ascii="Calibri" w:eastAsia="Calibri" w:hAnsi="Calibri" w:cs="Calibri"/>
                <w:color w:val="000000" w:themeColor="text1"/>
                <w:sz w:val="20"/>
                <w:szCs w:val="20"/>
              </w:rPr>
              <w:t>1379</w:t>
            </w:r>
          </w:p>
        </w:tc>
      </w:tr>
    </w:tbl>
    <w:p w14:paraId="003D69A8" w14:textId="77777777" w:rsidR="00E63726" w:rsidRDefault="00E63726" w:rsidP="00E63726">
      <w:pPr>
        <w:spacing w:line="257" w:lineRule="auto"/>
      </w:pPr>
      <w:r w:rsidRPr="19D72ED3">
        <w:rPr>
          <w:rFonts w:ascii="Calibri" w:eastAsia="Calibri" w:hAnsi="Calibri" w:cs="Calibri"/>
          <w:color w:val="000000" w:themeColor="text1"/>
          <w:lang w:val="en-US"/>
        </w:rPr>
        <w:t xml:space="preserve"> </w:t>
      </w:r>
    </w:p>
    <w:p w14:paraId="4F0B117F" w14:textId="77777777" w:rsidR="00E63726" w:rsidRPr="005A0FC6" w:rsidRDefault="00E63726" w:rsidP="00E63726">
      <w:pPr>
        <w:spacing w:line="257" w:lineRule="auto"/>
        <w:rPr>
          <w:lang w:val="en-US"/>
        </w:rPr>
      </w:pPr>
      <w:r w:rsidRPr="19D72ED3">
        <w:rPr>
          <w:rFonts w:ascii="Calibri" w:eastAsia="Calibri" w:hAnsi="Calibri" w:cs="Calibri"/>
          <w:b/>
          <w:bCs/>
          <w:i/>
          <w:iCs/>
          <w:color w:val="000000" w:themeColor="text1"/>
          <w:lang w:val="en-US"/>
        </w:rPr>
        <w:t>APA PsycInfo &lt;1806 to August Week 1 2023&gt;</w:t>
      </w:r>
    </w:p>
    <w:tbl>
      <w:tblPr>
        <w:tblW w:w="0" w:type="auto"/>
        <w:tblLayout w:type="fixed"/>
        <w:tblLook w:val="04A0" w:firstRow="1" w:lastRow="0" w:firstColumn="1" w:lastColumn="0" w:noHBand="0" w:noVBand="1"/>
      </w:tblPr>
      <w:tblGrid>
        <w:gridCol w:w="279"/>
        <w:gridCol w:w="7296"/>
        <w:gridCol w:w="992"/>
      </w:tblGrid>
      <w:tr w:rsidR="00E63726" w14:paraId="122401C0" w14:textId="77777777" w:rsidTr="00555A56">
        <w:trPr>
          <w:trHeight w:val="330"/>
        </w:trPr>
        <w:tc>
          <w:tcPr>
            <w:tcW w:w="2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76AB0934" w14:textId="77777777" w:rsidR="00E63726" w:rsidRDefault="00E63726" w:rsidP="00555A56">
            <w:pPr>
              <w:spacing w:after="0"/>
            </w:pPr>
            <w:r w:rsidRPr="19D72ED3">
              <w:rPr>
                <w:rFonts w:ascii="Calibri" w:eastAsia="Calibri" w:hAnsi="Calibri" w:cs="Calibri"/>
                <w:b/>
                <w:bCs/>
                <w:color w:val="000000" w:themeColor="text1"/>
                <w:sz w:val="20"/>
                <w:szCs w:val="20"/>
              </w:rPr>
              <w:t>#</w:t>
            </w:r>
          </w:p>
        </w:tc>
        <w:tc>
          <w:tcPr>
            <w:tcW w:w="72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1A8D16D7" w14:textId="77777777" w:rsidR="00E63726" w:rsidRDefault="00E63726" w:rsidP="00555A56">
            <w:pPr>
              <w:spacing w:after="0"/>
            </w:pPr>
            <w:r w:rsidRPr="19D72ED3">
              <w:rPr>
                <w:rFonts w:ascii="Calibri" w:eastAsia="Calibri" w:hAnsi="Calibri" w:cs="Calibri"/>
                <w:b/>
                <w:bCs/>
                <w:color w:val="000000" w:themeColor="text1"/>
                <w:sz w:val="20"/>
                <w:szCs w:val="20"/>
              </w:rPr>
              <w:t>Searches</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31B1EED4" w14:textId="77777777" w:rsidR="00E63726" w:rsidRDefault="00E63726" w:rsidP="00555A56">
            <w:pPr>
              <w:spacing w:after="0"/>
            </w:pPr>
            <w:r w:rsidRPr="19D72ED3">
              <w:rPr>
                <w:rFonts w:ascii="Calibri" w:eastAsia="Calibri" w:hAnsi="Calibri" w:cs="Calibri"/>
                <w:b/>
                <w:bCs/>
                <w:color w:val="000000" w:themeColor="text1"/>
                <w:sz w:val="20"/>
                <w:szCs w:val="20"/>
              </w:rPr>
              <w:t>Results</w:t>
            </w:r>
          </w:p>
        </w:tc>
      </w:tr>
      <w:tr w:rsidR="00E63726" w14:paraId="6AD6EB65" w14:textId="77777777" w:rsidTr="00555A56">
        <w:trPr>
          <w:trHeight w:val="1350"/>
        </w:trPr>
        <w:tc>
          <w:tcPr>
            <w:tcW w:w="2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0A63E836" w14:textId="77777777" w:rsidR="00E63726" w:rsidRDefault="00E63726" w:rsidP="00555A56">
            <w:pPr>
              <w:spacing w:after="0"/>
              <w:jc w:val="right"/>
            </w:pPr>
            <w:r w:rsidRPr="19D72ED3">
              <w:rPr>
                <w:rFonts w:ascii="Calibri" w:eastAsia="Calibri" w:hAnsi="Calibri" w:cs="Calibri"/>
                <w:color w:val="000000" w:themeColor="text1"/>
                <w:sz w:val="20"/>
                <w:szCs w:val="20"/>
              </w:rPr>
              <w:t>1</w:t>
            </w:r>
          </w:p>
        </w:tc>
        <w:tc>
          <w:tcPr>
            <w:tcW w:w="72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35D021B4" w14:textId="77777777" w:rsidR="00E63726" w:rsidRPr="005A0FC6" w:rsidRDefault="00E63726" w:rsidP="00555A56">
            <w:pPr>
              <w:spacing w:after="0"/>
              <w:rPr>
                <w:lang w:val="en-US"/>
              </w:rPr>
            </w:pPr>
            <w:r w:rsidRPr="19D72ED3">
              <w:rPr>
                <w:rFonts w:ascii="Calibri" w:eastAsia="Calibri" w:hAnsi="Calibri" w:cs="Calibri"/>
                <w:color w:val="000000" w:themeColor="text1"/>
                <w:sz w:val="20"/>
                <w:szCs w:val="20"/>
                <w:lang w:val="en-US"/>
              </w:rPr>
              <w:t xml:space="preserve">(((data or code or workflow or practices or materials or notebook) adj2 (open or share or shared or sharing or preservation or stewardship)) or "open science" or ((computational or data or open or research or conclusion* or inferential or analytic or conceptual or direct or exact or statistical) adj3 (reproducib* or replicability or </w:t>
            </w:r>
            <w:r w:rsidRPr="19D72ED3">
              <w:rPr>
                <w:rFonts w:ascii="Calibri" w:eastAsia="Calibri" w:hAnsi="Calibri" w:cs="Calibri"/>
                <w:color w:val="000000" w:themeColor="text1"/>
                <w:sz w:val="20"/>
                <w:szCs w:val="20"/>
                <w:lang w:val="en-US"/>
              </w:rPr>
              <w:lastRenderedPageBreak/>
              <w:t xml:space="preserve">replicable)) or (research adj5 (transparen* or credib*))).ti,ab. or (reporting adj3 guideline*).ti.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0CA9D82D" w14:textId="77777777" w:rsidR="00E63726" w:rsidRDefault="00E63726" w:rsidP="00555A56">
            <w:pPr>
              <w:spacing w:after="0"/>
              <w:jc w:val="right"/>
            </w:pPr>
            <w:r w:rsidRPr="19D72ED3">
              <w:rPr>
                <w:rFonts w:ascii="Calibri" w:eastAsia="Calibri" w:hAnsi="Calibri" w:cs="Calibri"/>
                <w:color w:val="000000" w:themeColor="text1"/>
                <w:sz w:val="20"/>
                <w:szCs w:val="20"/>
              </w:rPr>
              <w:lastRenderedPageBreak/>
              <w:t>7023</w:t>
            </w:r>
          </w:p>
        </w:tc>
      </w:tr>
      <w:tr w:rsidR="00E63726" w14:paraId="37352D9A" w14:textId="77777777" w:rsidTr="00555A56">
        <w:trPr>
          <w:trHeight w:val="3390"/>
        </w:trPr>
        <w:tc>
          <w:tcPr>
            <w:tcW w:w="2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5211729C" w14:textId="77777777" w:rsidR="00E63726" w:rsidRDefault="00E63726" w:rsidP="00555A56">
            <w:pPr>
              <w:spacing w:after="0"/>
              <w:jc w:val="right"/>
            </w:pPr>
            <w:r w:rsidRPr="19D72ED3">
              <w:rPr>
                <w:rFonts w:ascii="Calibri" w:eastAsia="Calibri" w:hAnsi="Calibri" w:cs="Calibri"/>
                <w:color w:val="000000" w:themeColor="text1"/>
                <w:sz w:val="20"/>
                <w:szCs w:val="20"/>
              </w:rPr>
              <w:t>2</w:t>
            </w:r>
          </w:p>
        </w:tc>
        <w:tc>
          <w:tcPr>
            <w:tcW w:w="72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02669A53" w14:textId="77777777" w:rsidR="00E63726" w:rsidRPr="005A0FC6" w:rsidRDefault="00E63726" w:rsidP="00555A56">
            <w:pPr>
              <w:spacing w:after="0"/>
              <w:rPr>
                <w:lang w:val="en-US"/>
              </w:rPr>
            </w:pPr>
            <w:r w:rsidRPr="19D72ED3">
              <w:rPr>
                <w:rFonts w:ascii="Calibri" w:eastAsia="Calibri" w:hAnsi="Calibri" w:cs="Calibri"/>
                <w:color w:val="000000" w:themeColor="text1"/>
                <w:sz w:val="20"/>
                <w:szCs w:val="20"/>
                <w:lang w:val="en-US"/>
              </w:rPr>
              <w:t xml:space="preserve">(Clinical study/ or Case control study/ or Family study/ or Longitudinal study/ or Retrospective study/ or Prospective study/ or Cohort analysis/ or Comparative Study/ or (Cohort adj (study or studies)).mp. or (Case control adj (study or studies)).tw. or (follow up adj (study or studies)).tw. or (observational adj (study or studies)).tw. or (epidemiologic$ adj (study or studies)).tw. or (cross sectional adj (study or studies)).tw. or (comparative adj stud*).mp. or (("randomized controlled trial" or "controlled clinical trial" or "multicenter study" or "pragmatic clinical trial").pt. or non-randomized controlled trials as topic/ or interrupted time series analysis/ or controlled before-after studies/ or random*.ti,ab. or groups.ab. or (trial or multicenter or "multi center" or multicentre or "multi centre").ti. or (intervention? or effect? or impact? or controlled or control group? or (before adj12 after) or (pre adj5 post) or ((pretest or "pre test") and (posttest or "post test")) or quasiexperiment* or quasi experiment* or pseudo-experiment* or pseudoexperiment* or evaluat* or "time series" or time-point? or "repeated measur*" or ((experimental or empirical or qualitative) adj5 (study or studies))).ti,ab.)) not (news or comment or editorial).pt.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353B18DA" w14:textId="77777777" w:rsidR="00E63726" w:rsidRDefault="00E63726" w:rsidP="00555A56">
            <w:pPr>
              <w:spacing w:after="0"/>
              <w:jc w:val="right"/>
            </w:pPr>
            <w:r w:rsidRPr="19D72ED3">
              <w:rPr>
                <w:rFonts w:ascii="Calibri" w:eastAsia="Calibri" w:hAnsi="Calibri" w:cs="Calibri"/>
                <w:color w:val="000000" w:themeColor="text1"/>
                <w:sz w:val="20"/>
                <w:szCs w:val="20"/>
              </w:rPr>
              <w:t>2710373</w:t>
            </w:r>
          </w:p>
        </w:tc>
      </w:tr>
      <w:tr w:rsidR="00E63726" w14:paraId="3B10A25B" w14:textId="77777777" w:rsidTr="00555A56">
        <w:trPr>
          <w:trHeight w:val="330"/>
        </w:trPr>
        <w:tc>
          <w:tcPr>
            <w:tcW w:w="2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0E234597" w14:textId="77777777" w:rsidR="00E63726" w:rsidRDefault="00E63726" w:rsidP="00555A56">
            <w:pPr>
              <w:spacing w:after="0"/>
              <w:jc w:val="right"/>
            </w:pPr>
            <w:r w:rsidRPr="19D72ED3">
              <w:rPr>
                <w:rFonts w:ascii="Calibri" w:eastAsia="Calibri" w:hAnsi="Calibri" w:cs="Calibri"/>
                <w:color w:val="000000" w:themeColor="text1"/>
                <w:sz w:val="20"/>
                <w:szCs w:val="20"/>
              </w:rPr>
              <w:t>3</w:t>
            </w:r>
          </w:p>
        </w:tc>
        <w:tc>
          <w:tcPr>
            <w:tcW w:w="72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7A3160C2" w14:textId="77777777" w:rsidR="00E63726" w:rsidRDefault="00E63726" w:rsidP="00555A56">
            <w:pPr>
              <w:spacing w:after="0"/>
            </w:pPr>
            <w:r w:rsidRPr="19D72ED3">
              <w:rPr>
                <w:rFonts w:ascii="Calibri" w:eastAsia="Calibri" w:hAnsi="Calibri" w:cs="Calibri"/>
                <w:color w:val="000000" w:themeColor="text1"/>
                <w:sz w:val="20"/>
                <w:szCs w:val="20"/>
              </w:rPr>
              <w:t xml:space="preserve">1 and 2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5359E770" w14:textId="77777777" w:rsidR="00E63726" w:rsidRDefault="00E63726" w:rsidP="00555A56">
            <w:pPr>
              <w:spacing w:after="0"/>
              <w:jc w:val="right"/>
            </w:pPr>
            <w:r w:rsidRPr="19D72ED3">
              <w:rPr>
                <w:rFonts w:ascii="Calibri" w:eastAsia="Calibri" w:hAnsi="Calibri" w:cs="Calibri"/>
                <w:color w:val="000000" w:themeColor="text1"/>
                <w:sz w:val="20"/>
                <w:szCs w:val="20"/>
              </w:rPr>
              <w:t>3917</w:t>
            </w:r>
          </w:p>
        </w:tc>
      </w:tr>
    </w:tbl>
    <w:p w14:paraId="083161C4" w14:textId="77777777" w:rsidR="00E63726" w:rsidRDefault="00E63726" w:rsidP="00E63726">
      <w:pPr>
        <w:spacing w:line="257" w:lineRule="auto"/>
      </w:pPr>
      <w:r w:rsidRPr="19D72ED3">
        <w:rPr>
          <w:rFonts w:ascii="Calibri" w:eastAsia="Calibri" w:hAnsi="Calibri" w:cs="Calibri"/>
          <w:color w:val="000000" w:themeColor="text1"/>
          <w:lang w:val="en-US"/>
        </w:rPr>
        <w:t xml:space="preserve"> </w:t>
      </w:r>
    </w:p>
    <w:p w14:paraId="69805479" w14:textId="77777777" w:rsidR="00E63726" w:rsidRDefault="00E63726" w:rsidP="00E63726">
      <w:pPr>
        <w:spacing w:line="257" w:lineRule="auto"/>
      </w:pPr>
      <w:r w:rsidRPr="19D72ED3">
        <w:rPr>
          <w:rFonts w:ascii="Calibri" w:eastAsia="Calibri" w:hAnsi="Calibri" w:cs="Calibri"/>
          <w:b/>
          <w:bCs/>
          <w:i/>
          <w:iCs/>
          <w:color w:val="000000" w:themeColor="text1"/>
          <w:lang w:val="en-US"/>
        </w:rPr>
        <w:t>Scopus (August 2023)</w:t>
      </w:r>
    </w:p>
    <w:tbl>
      <w:tblPr>
        <w:tblW w:w="0" w:type="auto"/>
        <w:tblLayout w:type="fixed"/>
        <w:tblLook w:val="04A0" w:firstRow="1" w:lastRow="0" w:firstColumn="1" w:lastColumn="0" w:noHBand="0" w:noVBand="1"/>
      </w:tblPr>
      <w:tblGrid>
        <w:gridCol w:w="279"/>
        <w:gridCol w:w="7296"/>
        <w:gridCol w:w="992"/>
      </w:tblGrid>
      <w:tr w:rsidR="00E63726" w14:paraId="271D153E" w14:textId="77777777" w:rsidTr="00555A56">
        <w:trPr>
          <w:trHeight w:val="4080"/>
        </w:trPr>
        <w:tc>
          <w:tcPr>
            <w:tcW w:w="2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7B358F9A" w14:textId="77777777" w:rsidR="00E63726" w:rsidRDefault="00E63726" w:rsidP="00555A56">
            <w:pPr>
              <w:spacing w:after="0"/>
              <w:jc w:val="right"/>
            </w:pPr>
            <w:r w:rsidRPr="19D72ED3">
              <w:rPr>
                <w:rFonts w:ascii="Calibri" w:eastAsia="Calibri" w:hAnsi="Calibri" w:cs="Calibri"/>
                <w:color w:val="000000" w:themeColor="text1"/>
                <w:sz w:val="20"/>
                <w:szCs w:val="20"/>
              </w:rPr>
              <w:t>1</w:t>
            </w:r>
          </w:p>
        </w:tc>
        <w:tc>
          <w:tcPr>
            <w:tcW w:w="72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50D30B7E" w14:textId="77777777" w:rsidR="00E63726" w:rsidRPr="005A0FC6" w:rsidRDefault="00E63726" w:rsidP="00555A56">
            <w:pPr>
              <w:spacing w:after="0"/>
              <w:rPr>
                <w:lang w:val="en-US"/>
              </w:rPr>
            </w:pPr>
            <w:r w:rsidRPr="19D72ED3">
              <w:rPr>
                <w:rFonts w:ascii="Calibri" w:eastAsia="Calibri" w:hAnsi="Calibri" w:cs="Calibri"/>
                <w:color w:val="000000" w:themeColor="text1"/>
                <w:sz w:val="20"/>
                <w:szCs w:val="20"/>
                <w:lang w:val="en-US"/>
              </w:rPr>
              <w:t>( TITLE-ABS ( ( ( data OR code OR workflow OR practices OR materials OR notebook ) W/1 ( share OR shared OR sharing OR preservation  OR stewardship ) ) OR "open science" OR ( ( computational OR data OR open OR research OR conclusion* OR inferential OR analytic OR conceptual OR direct OR exact OR statistical ) W/2 ( reproducib* OR replicability OR replicable ) ) OR ( research W/2 ( transparen* OR credib* ) ) ) OR TITLE ( reporting W/2 guideline* ) ) AND ( TITLE-ABS ( cohort W/1 ( study OR studies ) ) OR TITLE-ABS ( "Case control" W/1 ( study OR studies ) ) OR TITLE-ABS ( follow-up W/1 ( study OR studies ) ) OR TITLE-ABS ( observational W/1 ( study OR studies ) ) OR TITLE-ABS ( "cross sectional" W/1 ( study OR studies ) ) OR TITLE-ABS ( comparative W/1 stud* ) OR TITLE-ABS ( random* ) OR TITLE ( multicenter OR "multi center" OR multicentre OR "multi centre" ) OR TITLE-ABS ( intervention* OR effectiveness OR ( controlled W/3 trial* ) OR "control group*" OR ( before W/11 after ) OR ( ( pretest OR "pre test" ) AND ( posttest OR "post test" ) ) OR quasiexperiment* OR "quasi experiment*" OR "pseudo experiment*" OR pseudoexperiment* OR evaluation OR ( ( experimental OR empirical OR qualitative ) W/4 ( study OR studies ) ) ) ) AND ( EXCLUDE ( DOCTYPE , "cp" )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4B6CC70D" w14:textId="77777777" w:rsidR="00E63726" w:rsidRDefault="00E63726" w:rsidP="00555A56">
            <w:pPr>
              <w:spacing w:after="0"/>
              <w:jc w:val="right"/>
            </w:pPr>
            <w:r w:rsidRPr="19D72ED3">
              <w:rPr>
                <w:rFonts w:ascii="Calibri" w:eastAsia="Calibri" w:hAnsi="Calibri" w:cs="Calibri"/>
                <w:color w:val="000000" w:themeColor="text1"/>
                <w:sz w:val="20"/>
                <w:szCs w:val="20"/>
              </w:rPr>
              <w:t>12960</w:t>
            </w:r>
          </w:p>
        </w:tc>
      </w:tr>
    </w:tbl>
    <w:p w14:paraId="21C4A4FF" w14:textId="77777777" w:rsidR="00E63726" w:rsidRDefault="00E63726" w:rsidP="00E63726">
      <w:pPr>
        <w:spacing w:line="257" w:lineRule="auto"/>
      </w:pPr>
      <w:r w:rsidRPr="19D72ED3">
        <w:rPr>
          <w:rFonts w:ascii="Calibri" w:eastAsia="Calibri" w:hAnsi="Calibri" w:cs="Calibri"/>
          <w:color w:val="000000" w:themeColor="text1"/>
          <w:lang w:val="en-US"/>
        </w:rPr>
        <w:t xml:space="preserve"> </w:t>
      </w:r>
    </w:p>
    <w:p w14:paraId="0FFA8A54" w14:textId="77777777" w:rsidR="00E63726" w:rsidRDefault="00E63726" w:rsidP="00E63726">
      <w:pPr>
        <w:spacing w:line="257" w:lineRule="auto"/>
      </w:pPr>
      <w:r w:rsidRPr="19D72ED3">
        <w:rPr>
          <w:rFonts w:ascii="Calibri" w:eastAsia="Calibri" w:hAnsi="Calibri" w:cs="Calibri"/>
          <w:b/>
          <w:bCs/>
          <w:i/>
          <w:iCs/>
          <w:color w:val="000000" w:themeColor="text1"/>
          <w:lang w:val="en-US"/>
        </w:rPr>
        <w:t>World of Science (August 2023)</w:t>
      </w:r>
    </w:p>
    <w:tbl>
      <w:tblPr>
        <w:tblW w:w="0" w:type="auto"/>
        <w:tblLayout w:type="fixed"/>
        <w:tblLook w:val="04A0" w:firstRow="1" w:lastRow="0" w:firstColumn="1" w:lastColumn="0" w:noHBand="0" w:noVBand="1"/>
      </w:tblPr>
      <w:tblGrid>
        <w:gridCol w:w="279"/>
        <w:gridCol w:w="7296"/>
        <w:gridCol w:w="992"/>
      </w:tblGrid>
      <w:tr w:rsidR="00E63726" w14:paraId="371C1085" w14:textId="77777777" w:rsidTr="00555A56">
        <w:trPr>
          <w:trHeight w:val="7110"/>
        </w:trPr>
        <w:tc>
          <w:tcPr>
            <w:tcW w:w="2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19997B21" w14:textId="77777777" w:rsidR="00E63726" w:rsidRDefault="00E63726" w:rsidP="00555A56">
            <w:pPr>
              <w:spacing w:after="0"/>
              <w:jc w:val="right"/>
            </w:pPr>
            <w:r w:rsidRPr="19D72ED3">
              <w:rPr>
                <w:rFonts w:ascii="Calibri" w:eastAsia="Calibri" w:hAnsi="Calibri" w:cs="Calibri"/>
                <w:color w:val="000000" w:themeColor="text1"/>
                <w:sz w:val="20"/>
                <w:szCs w:val="20"/>
              </w:rPr>
              <w:lastRenderedPageBreak/>
              <w:t>1</w:t>
            </w:r>
          </w:p>
        </w:tc>
        <w:tc>
          <w:tcPr>
            <w:tcW w:w="72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301566D3" w14:textId="77777777" w:rsidR="00E63726" w:rsidRPr="005A0FC6" w:rsidRDefault="00E63726" w:rsidP="00555A56">
            <w:pPr>
              <w:spacing w:after="0"/>
              <w:rPr>
                <w:lang w:val="en-US"/>
              </w:rPr>
            </w:pPr>
            <w:r w:rsidRPr="19D72ED3">
              <w:rPr>
                <w:rFonts w:ascii="Calibri" w:eastAsia="Calibri" w:hAnsi="Calibri" w:cs="Calibri"/>
                <w:color w:val="000000" w:themeColor="text1"/>
                <w:sz w:val="20"/>
                <w:szCs w:val="20"/>
                <w:lang w:val="en-US"/>
              </w:rPr>
              <w:t>((TI= (((data OR code OR workflow OR practices OR materials OR notebook) NEAR/1 ( share OR shared OR sharing OR preservation  OR stewardship)) OR "open science" OR ((computational OR data OR open OR research OR conclusion* OR inferential OR analytic OR conceptual OR direct OR exact OR statistical) NEAR/2 reproducib*) OR (research NEAR/2 (transparen* OR credib*)) OR (reporting NEAR/2 guideline*))) AND (TI= (cohort NEAR/1 (study OR studies)) OR TI= ("Case control" NEAR/1 (study OR studies)) OR TI= (follow-up NEAR/1 (study OR studies)) OR TI= (observational NEAR/1 (study OR studies)) OR TI= ("cross sectional" NEAR/1 (study OR studies)) OR TI= (comparative NEAR/1 stud*) OR TI= (random*) OR TI= (multicenter OR "multi center" OR multicentre OR "multi centre") OR TI= (intervention* OR effectiveness OR (controlled NEAR/3 trial*) OR "control group*" OR (before NEAR/12 after) OR ((pretest OR "pre test") AND (posttest OR "post test")) OR quasiexperiment* OR "quasi experiment*" OR "pseudo experiment*" OR pseudoexperiment* OR evaluation OR ((experimental or empirical or qualitative) NEAR/4 (study or studies))))) OR ((AB= (((data OR code OR workflow OR practices OR materials OR notebook) NEAR/1 ( share OR shared OR sharing OR preservation  OR stewardship)) OR "open science" OR ((computational OR data OR open OR research OR conclusion* OR inferential OR analytic OR conceptual OR direct OR exact OR statistical) NEAR/2 reproducib*) OR (research NEAR/2 (transparen* OR credib*)))) AND (AB= (cohort NEAR/1 (study OR studies)) OR AB= ("Case control" NEAR/1 (study OR studies)) OR AB= (follow-up NEAR/1 (study OR studies)) OR AB= (observational NEAR/1 (study OR studies)) OR AB= ("cross sectional" NEAR/1 (study OR studies)) OR AB= (comparative NEAR/1 stud*) OR AB= (random*) OR AB= (multicenter OR "multi center" OR multicentre OR "multi centre") OR AB= (intervention* OR effectiveness OR (controlled NEAR/3 trial*) OR "control group*" OR (before NEAR/12 after) OR ((pretest OR "pre test") AND (posttest OR "post test")) OR quasiexperiment* OR "quasi experiment*" OR "pseudo experiment*" OR pseudoexperiment* OR evaluation OR ((experimental or empirical or qualitative) NEAR/4 (study or studies)))))</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bottom"/>
          </w:tcPr>
          <w:p w14:paraId="40166B38" w14:textId="77777777" w:rsidR="00E63726" w:rsidRDefault="00E63726" w:rsidP="00555A56">
            <w:pPr>
              <w:spacing w:after="0"/>
              <w:jc w:val="right"/>
            </w:pPr>
            <w:r w:rsidRPr="19D72ED3">
              <w:rPr>
                <w:rFonts w:ascii="Calibri" w:eastAsia="Calibri" w:hAnsi="Calibri" w:cs="Calibri"/>
                <w:color w:val="000000" w:themeColor="text1"/>
                <w:sz w:val="20"/>
                <w:szCs w:val="20"/>
              </w:rPr>
              <w:t>9232</w:t>
            </w:r>
          </w:p>
        </w:tc>
      </w:tr>
    </w:tbl>
    <w:p w14:paraId="4AB29B9A" w14:textId="77777777" w:rsidR="00E63726" w:rsidRDefault="00E63726" w:rsidP="00E63726">
      <w:pPr>
        <w:spacing w:line="257" w:lineRule="auto"/>
      </w:pPr>
      <w:r w:rsidRPr="19D72ED3">
        <w:rPr>
          <w:rFonts w:ascii="Calibri" w:eastAsia="Calibri" w:hAnsi="Calibri" w:cs="Calibri"/>
          <w:color w:val="000000" w:themeColor="text1"/>
          <w:lang w:val="en-US"/>
        </w:rPr>
        <w:t xml:space="preserve"> </w:t>
      </w:r>
    </w:p>
    <w:p w14:paraId="41084241" w14:textId="77777777" w:rsidR="00E63726" w:rsidRDefault="00E63726" w:rsidP="00E63726">
      <w:pPr>
        <w:spacing w:line="257" w:lineRule="auto"/>
        <w:rPr>
          <w:rFonts w:ascii="Calibri" w:eastAsia="Calibri" w:hAnsi="Calibri" w:cs="Calibri"/>
          <w:lang w:val="en-US"/>
        </w:rPr>
      </w:pPr>
      <w:r w:rsidRPr="19D72ED3">
        <w:rPr>
          <w:rFonts w:ascii="Calibri" w:eastAsia="Calibri" w:hAnsi="Calibri" w:cs="Calibri"/>
        </w:rPr>
        <w:t xml:space="preserve"> </w:t>
      </w:r>
    </w:p>
    <w:p w14:paraId="74E2933F" w14:textId="77777777" w:rsidR="00E63726" w:rsidRDefault="00E63726" w:rsidP="00E63726">
      <w:r>
        <w:br w:type="page"/>
      </w:r>
    </w:p>
    <w:p w14:paraId="3337DDB6" w14:textId="77777777" w:rsidR="00E63726" w:rsidRPr="005A0FC6" w:rsidRDefault="00E63726" w:rsidP="00E63726">
      <w:pPr>
        <w:pStyle w:val="Kop1"/>
        <w:spacing w:line="257" w:lineRule="auto"/>
        <w:rPr>
          <w:lang w:val="en-US"/>
        </w:rPr>
      </w:pPr>
      <w:r w:rsidRPr="19D72ED3">
        <w:rPr>
          <w:rFonts w:ascii="Calibri Light" w:eastAsia="Calibri Light" w:hAnsi="Calibri Light" w:cs="Calibri Light"/>
          <w:lang w:val="en-GB"/>
        </w:rPr>
        <w:lastRenderedPageBreak/>
        <w:t>3.Data-extraction items and their answering options</w:t>
      </w:r>
    </w:p>
    <w:p w14:paraId="0141527B" w14:textId="77777777" w:rsidR="00E63726" w:rsidRPr="005A0FC6" w:rsidRDefault="00E63726" w:rsidP="00E63726">
      <w:pPr>
        <w:spacing w:after="120" w:line="360" w:lineRule="auto"/>
        <w:ind w:right="-20" w:firstLine="567"/>
        <w:rPr>
          <w:lang w:val="en-US"/>
        </w:rPr>
      </w:pPr>
      <w:r w:rsidRPr="7C5BD209">
        <w:rPr>
          <w:rFonts w:ascii="Times New Roman" w:eastAsia="Times New Roman" w:hAnsi="Times New Roman" w:cs="Times New Roman"/>
          <w:color w:val="000000" w:themeColor="text1"/>
          <w:sz w:val="24"/>
          <w:szCs w:val="24"/>
        </w:rPr>
        <w:t xml:space="preserve"> </w:t>
      </w:r>
    </w:p>
    <w:p w14:paraId="4205F779" w14:textId="77777777" w:rsidR="00E63726" w:rsidRDefault="00E63726" w:rsidP="005301A1">
      <w:pPr>
        <w:pStyle w:val="Lijstalinea"/>
        <w:numPr>
          <w:ilvl w:val="0"/>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Source, options:</w:t>
      </w:r>
    </w:p>
    <w:p w14:paraId="79F3BF09"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Peer-reviewed</w:t>
      </w:r>
    </w:p>
    <w:p w14:paraId="16F4BF06"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Pre-print</w:t>
      </w:r>
    </w:p>
    <w:p w14:paraId="4650FB4F"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Grey literature</w:t>
      </w:r>
    </w:p>
    <w:p w14:paraId="2BC5CD08" w14:textId="77777777" w:rsidR="00E63726" w:rsidRDefault="00E63726" w:rsidP="005301A1">
      <w:pPr>
        <w:pStyle w:val="Lijstalinea"/>
        <w:numPr>
          <w:ilvl w:val="0"/>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Design</w:t>
      </w:r>
      <w:r>
        <w:tab/>
      </w:r>
    </w:p>
    <w:p w14:paraId="5E5782BF"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Research Question/ Hypothesis (Open text field)</w:t>
      </w:r>
    </w:p>
    <w:p w14:paraId="5E3FC73B"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 xml:space="preserve">Study design category, options:     </w:t>
      </w:r>
    </w:p>
    <w:p w14:paraId="4FCB0736"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Comparative (between-subject comparison)</w:t>
      </w:r>
    </w:p>
    <w:p w14:paraId="3AE08838"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Comparative (within-subject comparison/repeated measures design)</w:t>
      </w:r>
    </w:p>
    <w:p w14:paraId="52D6B1DF"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Posttest design (only a post measurement after the implementation of an intervention and the intervention is explicitly mentioned)</w:t>
      </w:r>
    </w:p>
    <w:p w14:paraId="11729693"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Qualitative</w:t>
      </w:r>
    </w:p>
    <w:p w14:paraId="740741B7"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Other</w:t>
      </w:r>
    </w:p>
    <w:p w14:paraId="55711226"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Not applicable</w:t>
      </w:r>
    </w:p>
    <w:p w14:paraId="6DD221A1"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Not reported</w:t>
      </w:r>
    </w:p>
    <w:p w14:paraId="316117EC"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Experimental design characteristics, options:</w:t>
      </w:r>
    </w:p>
    <w:p w14:paraId="74DF8B14"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Manipulation</w:t>
      </w:r>
    </w:p>
    <w:p w14:paraId="3EE77002"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Randomization</w:t>
      </w:r>
    </w:p>
    <w:p w14:paraId="4FC0CC60"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Not applicable</w:t>
      </w:r>
    </w:p>
    <w:p w14:paraId="326D5BF0"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Not reported</w:t>
      </w:r>
    </w:p>
    <w:p w14:paraId="286CD098" w14:textId="77777777" w:rsidR="00E63726" w:rsidRDefault="00E63726" w:rsidP="005301A1">
      <w:pPr>
        <w:pStyle w:val="Lijstalinea"/>
        <w:numPr>
          <w:ilvl w:val="0"/>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Sample</w:t>
      </w:r>
      <w:r>
        <w:tab/>
      </w:r>
    </w:p>
    <w:p w14:paraId="718B18DA"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Sample, options:</w:t>
      </w:r>
    </w:p>
    <w:p w14:paraId="004567E6"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Articles/studies</w:t>
      </w:r>
    </w:p>
    <w:p w14:paraId="01AF8A0C"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PhD students</w:t>
      </w:r>
    </w:p>
    <w:p w14:paraId="464F9746"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Post docs</w:t>
      </w:r>
    </w:p>
    <w:p w14:paraId="766B2105"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Academic staff</w:t>
      </w:r>
    </w:p>
    <w:p w14:paraId="06DEBD79"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Reviewers</w:t>
      </w:r>
    </w:p>
    <w:p w14:paraId="2A1779CA"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Academic support staff</w:t>
      </w:r>
    </w:p>
    <w:p w14:paraId="61A80203"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Journals</w:t>
      </w:r>
    </w:p>
    <w:p w14:paraId="05621FCF"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Publishers</w:t>
      </w:r>
    </w:p>
    <w:p w14:paraId="206AFF33"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Institutions</w:t>
      </w:r>
    </w:p>
    <w:p w14:paraId="43CD0771"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Funders</w:t>
      </w:r>
    </w:p>
    <w:p w14:paraId="2BA35192"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Other</w:t>
      </w:r>
    </w:p>
    <w:p w14:paraId="337D0783" w14:textId="77777777" w:rsidR="00E63726" w:rsidRDefault="00E63726" w:rsidP="005301A1">
      <w:pPr>
        <w:pStyle w:val="Lijstalinea"/>
        <w:numPr>
          <w:ilvl w:val="0"/>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Sample description:</w:t>
      </w:r>
    </w:p>
    <w:p w14:paraId="5E95EC47"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Country, options:</w:t>
      </w:r>
    </w:p>
    <w:p w14:paraId="389648C5"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Country - open text field</w:t>
      </w:r>
    </w:p>
    <w:p w14:paraId="78727365"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Not applicable</w:t>
      </w:r>
    </w:p>
    <w:p w14:paraId="59C1F4FB"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Not reported</w:t>
      </w:r>
    </w:p>
    <w:p w14:paraId="00E034CD"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Broad academic field classification, options:</w:t>
      </w:r>
    </w:p>
    <w:p w14:paraId="34565A5D"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Natural sciences</w:t>
      </w:r>
    </w:p>
    <w:p w14:paraId="6FD57CF9"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Engineering and technology</w:t>
      </w:r>
    </w:p>
    <w:p w14:paraId="6C2843F8"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Medical and health sciences</w:t>
      </w:r>
    </w:p>
    <w:p w14:paraId="5FC46BB7"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Agricultural and veterinary sciences</w:t>
      </w:r>
    </w:p>
    <w:p w14:paraId="0D65379B"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Social sciences</w:t>
      </w:r>
    </w:p>
    <w:p w14:paraId="7F12ECE7"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Humanities and the arts</w:t>
      </w:r>
    </w:p>
    <w:p w14:paraId="14175195"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Other</w:t>
      </w:r>
    </w:p>
    <w:p w14:paraId="5DA177C0"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Not applicable</w:t>
      </w:r>
    </w:p>
    <w:p w14:paraId="167BEA8D" w14:textId="77777777" w:rsidR="00E63726" w:rsidRDefault="00E63726" w:rsidP="005301A1">
      <w:pPr>
        <w:pStyle w:val="Lijstalinea"/>
        <w:numPr>
          <w:ilvl w:val="2"/>
          <w:numId w:val="4"/>
        </w:numPr>
        <w:spacing w:after="0" w:line="257" w:lineRule="auto"/>
        <w:ind w:hanging="270"/>
        <w:rPr>
          <w:rFonts w:ascii="Times New Roman" w:eastAsia="Times New Roman" w:hAnsi="Times New Roman" w:cs="Times New Roman"/>
        </w:rPr>
      </w:pPr>
      <w:r w:rsidRPr="19D72ED3">
        <w:rPr>
          <w:rFonts w:ascii="Times New Roman" w:eastAsia="Times New Roman" w:hAnsi="Times New Roman" w:cs="Times New Roman"/>
        </w:rPr>
        <w:t>Not reported</w:t>
      </w:r>
    </w:p>
    <w:p w14:paraId="2AE1E8FC"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lastRenderedPageBreak/>
        <w:t>Sample size; open text field</w:t>
      </w:r>
    </w:p>
    <w:p w14:paraId="37B3C325" w14:textId="77777777" w:rsidR="00E63726" w:rsidRDefault="00E63726" w:rsidP="005301A1">
      <w:pPr>
        <w:pStyle w:val="Lijstalinea"/>
        <w:numPr>
          <w:ilvl w:val="0"/>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Intervention</w:t>
      </w:r>
      <w:r>
        <w:tab/>
      </w:r>
    </w:p>
    <w:p w14:paraId="065233BE"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Intervention classification (</w:t>
      </w:r>
      <w:r w:rsidRPr="19D72ED3">
        <w:rPr>
          <w:rFonts w:ascii="Times New Roman" w:eastAsia="Times New Roman" w:hAnsi="Times New Roman" w:cs="Times New Roman"/>
          <w:i/>
          <w:iCs/>
        </w:rPr>
        <w:t>each class has several subclasses (see appendix X); multiple options could be chosen</w:t>
      </w:r>
      <w:r w:rsidRPr="19D72ED3">
        <w:rPr>
          <w:rFonts w:ascii="Times New Roman" w:eastAsia="Times New Roman" w:hAnsi="Times New Roman" w:cs="Times New Roman"/>
        </w:rPr>
        <w:t>), options:</w:t>
      </w:r>
    </w:p>
    <w:p w14:paraId="1A97B693"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Open methodology</w:t>
      </w:r>
    </w:p>
    <w:p w14:paraId="4943E1DF"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Open science policies and guidelines</w:t>
      </w:r>
    </w:p>
    <w:p w14:paraId="4C3CF1E4"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Open data and materials</w:t>
      </w:r>
    </w:p>
    <w:p w14:paraId="5918956A"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Open science ethics</w:t>
      </w:r>
    </w:p>
    <w:p w14:paraId="1F28D854"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Open evaluations</w:t>
      </w:r>
    </w:p>
    <w:p w14:paraId="7CFFD9AA"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Open educational resources</w:t>
      </w:r>
    </w:p>
    <w:p w14:paraId="7E4E5613"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Open science tools</w:t>
      </w:r>
    </w:p>
    <w:p w14:paraId="1E4918E8"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Other</w:t>
      </w:r>
    </w:p>
    <w:p w14:paraId="754D3573" w14:textId="77777777" w:rsidR="00E63726" w:rsidRDefault="00E63726" w:rsidP="005301A1">
      <w:pPr>
        <w:pStyle w:val="Lijstalinea"/>
        <w:numPr>
          <w:ilvl w:val="0"/>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Intervention Details</w:t>
      </w:r>
      <w:r>
        <w:tab/>
      </w:r>
    </w:p>
    <w:p w14:paraId="2E086D52"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Level of independent variable (Who)</w:t>
      </w:r>
    </w:p>
    <w:p w14:paraId="1456B60A"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Government</w:t>
      </w:r>
    </w:p>
    <w:p w14:paraId="5D92498A"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Funder</w:t>
      </w:r>
    </w:p>
    <w:p w14:paraId="501C1DE8"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Publisher</w:t>
      </w:r>
    </w:p>
    <w:p w14:paraId="61B420E6"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Journal</w:t>
      </w:r>
    </w:p>
    <w:p w14:paraId="565F0CAB"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Institution</w:t>
      </w:r>
    </w:p>
    <w:p w14:paraId="1775D24B"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Reviewers</w:t>
      </w:r>
    </w:p>
    <w:p w14:paraId="1E113661"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PhD students</w:t>
      </w:r>
    </w:p>
    <w:p w14:paraId="155FE462"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Post docs</w:t>
      </w:r>
    </w:p>
    <w:p w14:paraId="1AC93F79"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Academic staff</w:t>
      </w:r>
    </w:p>
    <w:p w14:paraId="3594BD74"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Academic support staff</w:t>
      </w:r>
    </w:p>
    <w:p w14:paraId="2634E355"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Other</w:t>
      </w:r>
    </w:p>
    <w:p w14:paraId="560205B3"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Not applicable</w:t>
      </w:r>
    </w:p>
    <w:p w14:paraId="26A18B5B"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Level of dependent variable (Who is affected), options:</w:t>
      </w:r>
    </w:p>
    <w:p w14:paraId="1E6BE80B"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Government</w:t>
      </w:r>
    </w:p>
    <w:p w14:paraId="2CB1BA80"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Funder</w:t>
      </w:r>
    </w:p>
    <w:p w14:paraId="394C856F"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Publisher</w:t>
      </w:r>
    </w:p>
    <w:p w14:paraId="47A7D15C"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Journal</w:t>
      </w:r>
    </w:p>
    <w:p w14:paraId="0C178EB1"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Institution</w:t>
      </w:r>
    </w:p>
    <w:p w14:paraId="7EC9CEB9"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Reviewers</w:t>
      </w:r>
    </w:p>
    <w:p w14:paraId="1F0C98C7"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PhD students</w:t>
      </w:r>
    </w:p>
    <w:p w14:paraId="414DD0A7"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Post docs</w:t>
      </w:r>
    </w:p>
    <w:p w14:paraId="614A5FA5"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Academic staff</w:t>
      </w:r>
    </w:p>
    <w:p w14:paraId="7D4439FE"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Academic support staff</w:t>
      </w:r>
    </w:p>
    <w:p w14:paraId="3D71CB8C"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Other</w:t>
      </w:r>
    </w:p>
    <w:p w14:paraId="519A8084"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Not applicable</w:t>
      </w:r>
    </w:p>
    <w:p w14:paraId="2F412CCF"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Stage of the process, options:</w:t>
      </w:r>
    </w:p>
    <w:p w14:paraId="7260C767"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Before research</w:t>
      </w:r>
    </w:p>
    <w:p w14:paraId="05CEC231"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During research</w:t>
      </w:r>
    </w:p>
    <w:p w14:paraId="67FC8A5F"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After research before or at publication</w:t>
      </w:r>
    </w:p>
    <w:p w14:paraId="5E553DAB"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After publication</w:t>
      </w:r>
    </w:p>
    <w:p w14:paraId="072BBD30"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Other</w:t>
      </w:r>
    </w:p>
    <w:p w14:paraId="34059BC7"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Stringency</w:t>
      </w:r>
    </w:p>
    <w:p w14:paraId="5635E3C1"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Mandatory</w:t>
      </w:r>
    </w:p>
    <w:p w14:paraId="6C6F415F"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Optional</w:t>
      </w:r>
    </w:p>
    <w:p w14:paraId="032BC6B0"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Other</w:t>
      </w:r>
    </w:p>
    <w:p w14:paraId="4171F414"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Not applicable</w:t>
      </w:r>
    </w:p>
    <w:p w14:paraId="4BAD6834"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Not reported</w:t>
      </w:r>
    </w:p>
    <w:p w14:paraId="56836190" w14:textId="77777777" w:rsidR="00E63726" w:rsidRDefault="00E63726" w:rsidP="005301A1">
      <w:pPr>
        <w:pStyle w:val="Lijstalinea"/>
        <w:numPr>
          <w:ilvl w:val="0"/>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lastRenderedPageBreak/>
        <w:t>Outcome</w:t>
      </w:r>
      <w:r>
        <w:tab/>
      </w:r>
    </w:p>
    <w:p w14:paraId="0942C6E1"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Direct outcomes, options:</w:t>
      </w:r>
    </w:p>
    <w:p w14:paraId="61D458FD"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Inferential reproducibility</w:t>
      </w:r>
    </w:p>
    <w:p w14:paraId="2A66C50B"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Computational/Outcome/Result/Numerical/Statistical reproducibility</w:t>
      </w:r>
    </w:p>
    <w:p w14:paraId="43A1F663"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Method /methodological reproducibility</w:t>
      </w:r>
    </w:p>
    <w:p w14:paraId="37760111"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Inferential replicability</w:t>
      </w:r>
    </w:p>
    <w:p w14:paraId="4513BF7E"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Computational/Outcome/Result/Numerical/Statistical replicability</w:t>
      </w:r>
    </w:p>
    <w:p w14:paraId="21A62835"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Other</w:t>
      </w:r>
    </w:p>
    <w:p w14:paraId="7E612E26"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Outcome Details</w:t>
      </w:r>
      <w:r>
        <w:tab/>
      </w:r>
      <w:r w:rsidRPr="19D72ED3">
        <w:rPr>
          <w:rFonts w:ascii="Times New Roman" w:eastAsia="Times New Roman" w:hAnsi="Times New Roman" w:cs="Times New Roman"/>
        </w:rPr>
        <w:t>N/A</w:t>
      </w:r>
    </w:p>
    <w:p w14:paraId="71347125"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Outcome metric/operationalization: open text field</w:t>
      </w:r>
    </w:p>
    <w:p w14:paraId="03E596B3" w14:textId="77777777" w:rsidR="00E63726" w:rsidRDefault="00E63726" w:rsidP="005301A1">
      <w:pPr>
        <w:pStyle w:val="Lijstalinea"/>
        <w:numPr>
          <w:ilvl w:val="2"/>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When was outcome measured (in relation to intervention): open text field</w:t>
      </w:r>
    </w:p>
    <w:p w14:paraId="19D3070E" w14:textId="77777777" w:rsidR="00E63726" w:rsidRDefault="00E63726" w:rsidP="005301A1">
      <w:pPr>
        <w:pStyle w:val="Lijstalinea"/>
        <w:numPr>
          <w:ilvl w:val="0"/>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Proxy outcomes (</w:t>
      </w:r>
      <w:r w:rsidRPr="19D72ED3">
        <w:rPr>
          <w:rFonts w:ascii="Times New Roman" w:eastAsia="Times New Roman" w:hAnsi="Times New Roman" w:cs="Times New Roman"/>
          <w:i/>
          <w:iCs/>
        </w:rPr>
        <w:t>each class has several subclasses (see appendix X); multiple options could be chosen</w:t>
      </w:r>
      <w:r w:rsidRPr="19D72ED3">
        <w:rPr>
          <w:rFonts w:ascii="Times New Roman" w:eastAsia="Times New Roman" w:hAnsi="Times New Roman" w:cs="Times New Roman"/>
        </w:rPr>
        <w:t>); options:</w:t>
      </w:r>
    </w:p>
    <w:p w14:paraId="4FC25623"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Registration Status</w:t>
      </w:r>
    </w:p>
    <w:p w14:paraId="6D6F6370"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Review</w:t>
      </w:r>
    </w:p>
    <w:p w14:paraId="6546C103"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Methods transparency</w:t>
      </w:r>
    </w:p>
    <w:p w14:paraId="66677DB5"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Data</w:t>
      </w:r>
    </w:p>
    <w:p w14:paraId="2B4E7EFE"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Research material sharing</w:t>
      </w:r>
    </w:p>
    <w:p w14:paraId="7D6AA1DF" w14:textId="77777777" w:rsidR="00E63726" w:rsidRDefault="00E63726" w:rsidP="005301A1">
      <w:pPr>
        <w:pStyle w:val="Lijstalinea"/>
        <w:numPr>
          <w:ilvl w:val="0"/>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Results</w:t>
      </w:r>
      <w:r>
        <w:tab/>
      </w:r>
    </w:p>
    <w:p w14:paraId="7ED0F2C7"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Answer to RQ/Hypothesis: open text field</w:t>
      </w:r>
    </w:p>
    <w:p w14:paraId="30FEA56B"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Relevant descriptives: open text field</w:t>
      </w:r>
    </w:p>
    <w:p w14:paraId="341CCDB8"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Primary statistical/meta analytic or qualitative results for each hypothesis: open text field</w:t>
      </w:r>
    </w:p>
    <w:p w14:paraId="500CC922" w14:textId="77777777" w:rsidR="00E63726" w:rsidRDefault="00E63726" w:rsidP="005301A1">
      <w:pPr>
        <w:pStyle w:val="Lijstalinea"/>
        <w:numPr>
          <w:ilvl w:val="1"/>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Additional results: open text field</w:t>
      </w:r>
    </w:p>
    <w:p w14:paraId="158D0D86" w14:textId="77777777" w:rsidR="00E63726" w:rsidRDefault="00E63726" w:rsidP="005301A1">
      <w:pPr>
        <w:pStyle w:val="Lijstalinea"/>
        <w:numPr>
          <w:ilvl w:val="0"/>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Important limitations: tick box plus open text field</w:t>
      </w:r>
    </w:p>
    <w:p w14:paraId="5F4C7DEF" w14:textId="77777777" w:rsidR="00E63726" w:rsidRDefault="00E63726" w:rsidP="005301A1">
      <w:pPr>
        <w:pStyle w:val="Lijstalinea"/>
        <w:numPr>
          <w:ilvl w:val="0"/>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rPr>
        <w:t xml:space="preserve">Exclude Out of scope: tick box  </w:t>
      </w:r>
    </w:p>
    <w:p w14:paraId="148812C4" w14:textId="77777777" w:rsidR="00E63726" w:rsidRDefault="00E63726" w:rsidP="005301A1">
      <w:pPr>
        <w:pStyle w:val="Lijstalinea"/>
        <w:numPr>
          <w:ilvl w:val="0"/>
          <w:numId w:val="4"/>
        </w:numPr>
        <w:spacing w:after="0" w:line="257" w:lineRule="auto"/>
        <w:rPr>
          <w:rFonts w:ascii="Times New Roman" w:eastAsia="Times New Roman" w:hAnsi="Times New Roman" w:cs="Times New Roman"/>
        </w:rPr>
      </w:pPr>
      <w:r w:rsidRPr="19D72ED3">
        <w:rPr>
          <w:rFonts w:ascii="Times New Roman" w:eastAsia="Times New Roman" w:hAnsi="Times New Roman" w:cs="Times New Roman"/>
          <w:lang w:val="nl-NL"/>
        </w:rPr>
        <w:t>Data extraction finished: tick box</w:t>
      </w:r>
    </w:p>
    <w:p w14:paraId="4344B3FB" w14:textId="77777777" w:rsidR="00E63726" w:rsidRDefault="00E63726" w:rsidP="00E63726">
      <w:pPr>
        <w:spacing w:line="257" w:lineRule="auto"/>
        <w:rPr>
          <w:rFonts w:ascii="Times New Roman" w:eastAsia="Times New Roman" w:hAnsi="Times New Roman" w:cs="Times New Roman"/>
        </w:rPr>
      </w:pPr>
    </w:p>
    <w:p w14:paraId="3DB988AA" w14:textId="77777777" w:rsidR="00E63726" w:rsidRDefault="00E63726" w:rsidP="00E63726">
      <w:r>
        <w:br w:type="page"/>
      </w:r>
    </w:p>
    <w:p w14:paraId="11BCAB7E" w14:textId="77777777" w:rsidR="00E63726" w:rsidRDefault="00E63726" w:rsidP="00E63726">
      <w:pPr>
        <w:pStyle w:val="Kop1"/>
        <w:spacing w:line="257" w:lineRule="auto"/>
      </w:pPr>
      <w:r w:rsidRPr="7C5BD209">
        <w:rPr>
          <w:rFonts w:ascii="Calibri Light" w:eastAsia="Calibri Light" w:hAnsi="Calibri Light" w:cs="Calibri Light"/>
          <w:lang w:val="en-GB"/>
        </w:rPr>
        <w:lastRenderedPageBreak/>
        <w:t>4.List of interventions</w:t>
      </w:r>
    </w:p>
    <w:tbl>
      <w:tblPr>
        <w:tblStyle w:val="Tabelraster"/>
        <w:tblW w:w="9068" w:type="dxa"/>
        <w:tblLayout w:type="fixed"/>
        <w:tblLook w:val="04A0" w:firstRow="1" w:lastRow="0" w:firstColumn="1" w:lastColumn="0" w:noHBand="0" w:noVBand="1"/>
      </w:tblPr>
      <w:tblGrid>
        <w:gridCol w:w="1271"/>
        <w:gridCol w:w="2835"/>
        <w:gridCol w:w="524"/>
        <w:gridCol w:w="1405"/>
        <w:gridCol w:w="1951"/>
        <w:gridCol w:w="1082"/>
      </w:tblGrid>
      <w:tr w:rsidR="00E63726" w:rsidRPr="005A0FC6" w14:paraId="23D5905B" w14:textId="77777777" w:rsidTr="00555A56">
        <w:trPr>
          <w:trHeight w:val="420"/>
        </w:trPr>
        <w:tc>
          <w:tcPr>
            <w:tcW w:w="1271" w:type="dxa"/>
            <w:tcMar>
              <w:left w:w="70" w:type="dxa"/>
              <w:right w:w="70" w:type="dxa"/>
            </w:tcMar>
            <w:vAlign w:val="bottom"/>
          </w:tcPr>
          <w:p w14:paraId="0E0BAA10"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b/>
                <w:bCs/>
                <w:color w:val="000000" w:themeColor="text1"/>
                <w:sz w:val="18"/>
                <w:szCs w:val="18"/>
              </w:rPr>
              <w:t>Intervention class</w:t>
            </w:r>
            <w:r w:rsidRPr="005A0FC6">
              <w:rPr>
                <w:rFonts w:ascii="Times New Roman" w:hAnsi="Times New Roman" w:cs="Times New Roman"/>
                <w:sz w:val="18"/>
                <w:szCs w:val="18"/>
                <w:lang w:val="en-US"/>
              </w:rPr>
              <w:br/>
            </w:r>
            <w:r w:rsidRPr="005A0FC6">
              <w:rPr>
                <w:rFonts w:ascii="Times New Roman" w:eastAsia="Times New Roman" w:hAnsi="Times New Roman" w:cs="Times New Roman"/>
                <w:b/>
                <w:bCs/>
                <w:color w:val="000000" w:themeColor="text1"/>
                <w:sz w:val="18"/>
                <w:szCs w:val="18"/>
              </w:rPr>
              <w:t xml:space="preserve"> </w:t>
            </w:r>
            <w:r w:rsidRPr="005A0FC6">
              <w:rPr>
                <w:rFonts w:ascii="Times New Roman" w:eastAsia="Times New Roman" w:hAnsi="Times New Roman" w:cs="Times New Roman"/>
                <w:color w:val="000000" w:themeColor="text1"/>
                <w:sz w:val="18"/>
                <w:szCs w:val="18"/>
              </w:rPr>
              <w:t>(as per data-extraction file)</w:t>
            </w:r>
          </w:p>
        </w:tc>
        <w:tc>
          <w:tcPr>
            <w:tcW w:w="2835" w:type="dxa"/>
            <w:tcMar>
              <w:left w:w="70" w:type="dxa"/>
              <w:right w:w="70" w:type="dxa"/>
            </w:tcMar>
            <w:vAlign w:val="bottom"/>
          </w:tcPr>
          <w:p w14:paraId="7087DE8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b/>
                <w:bCs/>
                <w:color w:val="000000" w:themeColor="text1"/>
                <w:sz w:val="18"/>
                <w:szCs w:val="18"/>
              </w:rPr>
              <w:t>Intervention subclass</w:t>
            </w:r>
            <w:r w:rsidRPr="005A0FC6">
              <w:rPr>
                <w:rFonts w:ascii="Times New Roman" w:hAnsi="Times New Roman" w:cs="Times New Roman"/>
                <w:sz w:val="18"/>
                <w:szCs w:val="18"/>
                <w:lang w:val="en-US"/>
              </w:rPr>
              <w:br/>
            </w:r>
            <w:r w:rsidRPr="005A0FC6">
              <w:rPr>
                <w:rFonts w:ascii="Times New Roman" w:eastAsia="Times New Roman" w:hAnsi="Times New Roman" w:cs="Times New Roman"/>
                <w:b/>
                <w:bCs/>
                <w:color w:val="000000" w:themeColor="text1"/>
                <w:sz w:val="18"/>
                <w:szCs w:val="18"/>
              </w:rPr>
              <w:t xml:space="preserve"> </w:t>
            </w:r>
            <w:r w:rsidRPr="005A0FC6">
              <w:rPr>
                <w:rFonts w:ascii="Times New Roman" w:eastAsia="Times New Roman" w:hAnsi="Times New Roman" w:cs="Times New Roman"/>
                <w:color w:val="000000" w:themeColor="text1"/>
                <w:sz w:val="18"/>
                <w:szCs w:val="18"/>
              </w:rPr>
              <w:t>(as per data-extraction file)</w:t>
            </w:r>
          </w:p>
        </w:tc>
        <w:tc>
          <w:tcPr>
            <w:tcW w:w="524" w:type="dxa"/>
            <w:tcMar>
              <w:left w:w="70" w:type="dxa"/>
              <w:right w:w="70" w:type="dxa"/>
            </w:tcMar>
          </w:tcPr>
          <w:p w14:paraId="277011FF" w14:textId="77777777" w:rsidR="00E63726" w:rsidRPr="005A0FC6" w:rsidRDefault="00E63726" w:rsidP="00555A56">
            <w:pPr>
              <w:jc w:val="right"/>
              <w:rPr>
                <w:rFonts w:ascii="Times New Roman" w:eastAsia="Times New Roman" w:hAnsi="Times New Roman" w:cs="Times New Roman"/>
                <w:b/>
                <w:bCs/>
                <w:color w:val="000000" w:themeColor="text1"/>
                <w:sz w:val="18"/>
                <w:szCs w:val="18"/>
              </w:rPr>
            </w:pPr>
            <w:r w:rsidRPr="005A0FC6">
              <w:rPr>
                <w:rFonts w:ascii="Times New Roman" w:eastAsia="Times New Roman" w:hAnsi="Times New Roman" w:cs="Times New Roman"/>
                <w:b/>
                <w:bCs/>
                <w:color w:val="000000" w:themeColor="text1"/>
                <w:sz w:val="18"/>
                <w:szCs w:val="18"/>
              </w:rPr>
              <w:t>n</w:t>
            </w:r>
          </w:p>
        </w:tc>
        <w:tc>
          <w:tcPr>
            <w:tcW w:w="1405" w:type="dxa"/>
            <w:tcMar>
              <w:left w:w="70" w:type="dxa"/>
              <w:right w:w="70" w:type="dxa"/>
            </w:tcMar>
            <w:vAlign w:val="bottom"/>
          </w:tcPr>
          <w:p w14:paraId="116F255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b/>
                <w:bCs/>
                <w:color w:val="000000" w:themeColor="text1"/>
                <w:sz w:val="18"/>
                <w:szCs w:val="18"/>
              </w:rPr>
              <w:t>reporting_sharing</w:t>
            </w:r>
            <w:r w:rsidRPr="005A0FC6">
              <w:rPr>
                <w:rFonts w:ascii="Times New Roman" w:hAnsi="Times New Roman" w:cs="Times New Roman"/>
                <w:sz w:val="18"/>
                <w:szCs w:val="18"/>
              </w:rPr>
              <w:br/>
            </w:r>
            <w:r w:rsidRPr="005A0FC6">
              <w:rPr>
                <w:rFonts w:ascii="Times New Roman" w:eastAsia="Times New Roman" w:hAnsi="Times New Roman" w:cs="Times New Roman"/>
                <w:b/>
                <w:bCs/>
                <w:color w:val="000000" w:themeColor="text1"/>
                <w:sz w:val="18"/>
                <w:szCs w:val="18"/>
              </w:rPr>
              <w:t xml:space="preserve"> </w:t>
            </w:r>
            <w:r w:rsidRPr="005A0FC6">
              <w:rPr>
                <w:rFonts w:ascii="Times New Roman" w:eastAsia="Times New Roman" w:hAnsi="Times New Roman" w:cs="Times New Roman"/>
                <w:color w:val="000000" w:themeColor="text1"/>
                <w:sz w:val="18"/>
                <w:szCs w:val="18"/>
              </w:rPr>
              <w:t>(additional variable)</w:t>
            </w:r>
          </w:p>
        </w:tc>
        <w:tc>
          <w:tcPr>
            <w:tcW w:w="1951" w:type="dxa"/>
            <w:tcMar>
              <w:left w:w="70" w:type="dxa"/>
              <w:right w:w="70" w:type="dxa"/>
            </w:tcMar>
            <w:vAlign w:val="bottom"/>
          </w:tcPr>
          <w:p w14:paraId="6FF8ACA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b/>
                <w:bCs/>
                <w:color w:val="000000" w:themeColor="text1"/>
                <w:sz w:val="18"/>
                <w:szCs w:val="18"/>
              </w:rPr>
              <w:t>intervention_exact</w:t>
            </w:r>
            <w:r w:rsidRPr="005A0FC6">
              <w:rPr>
                <w:rFonts w:ascii="Times New Roman" w:hAnsi="Times New Roman" w:cs="Times New Roman"/>
                <w:sz w:val="18"/>
                <w:szCs w:val="18"/>
                <w:lang w:val="en-US"/>
              </w:rPr>
              <w:br/>
            </w:r>
            <w:r w:rsidRPr="005A0FC6">
              <w:rPr>
                <w:rFonts w:ascii="Times New Roman" w:eastAsia="Times New Roman" w:hAnsi="Times New Roman" w:cs="Times New Roman"/>
                <w:b/>
                <w:bCs/>
                <w:color w:val="000000" w:themeColor="text1"/>
                <w:sz w:val="18"/>
                <w:szCs w:val="18"/>
              </w:rPr>
              <w:t xml:space="preserve"> </w:t>
            </w:r>
            <w:r w:rsidRPr="005A0FC6">
              <w:rPr>
                <w:rFonts w:ascii="Times New Roman" w:eastAsia="Times New Roman" w:hAnsi="Times New Roman" w:cs="Times New Roman"/>
                <w:color w:val="000000" w:themeColor="text1"/>
                <w:sz w:val="18"/>
                <w:szCs w:val="18"/>
              </w:rPr>
              <w:t>(additional variable for more details)</w:t>
            </w:r>
          </w:p>
        </w:tc>
        <w:tc>
          <w:tcPr>
            <w:tcW w:w="1082" w:type="dxa"/>
            <w:tcMar>
              <w:left w:w="70" w:type="dxa"/>
              <w:right w:w="70" w:type="dxa"/>
            </w:tcMar>
          </w:tcPr>
          <w:p w14:paraId="3203B2D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b/>
                <w:bCs/>
                <w:color w:val="000000" w:themeColor="text1"/>
                <w:sz w:val="18"/>
                <w:szCs w:val="18"/>
              </w:rPr>
              <w:t>References</w:t>
            </w:r>
            <w:r w:rsidRPr="005A0FC6">
              <w:rPr>
                <w:rFonts w:ascii="Times New Roman" w:eastAsia="Times New Roman" w:hAnsi="Times New Roman" w:cs="Times New Roman"/>
                <w:color w:val="000000" w:themeColor="text1"/>
                <w:sz w:val="18"/>
                <w:szCs w:val="18"/>
              </w:rPr>
              <w:t xml:space="preserve"> </w:t>
            </w:r>
          </w:p>
          <w:p w14:paraId="52F1DDC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(First author (Year))</w:t>
            </w:r>
          </w:p>
        </w:tc>
      </w:tr>
      <w:tr w:rsidR="00E63726" w:rsidRPr="005A0FC6" w14:paraId="53541567" w14:textId="77777777" w:rsidTr="00555A56">
        <w:trPr>
          <w:trHeight w:val="195"/>
        </w:trPr>
        <w:tc>
          <w:tcPr>
            <w:tcW w:w="1271" w:type="dxa"/>
            <w:vMerge w:val="restart"/>
            <w:tcMar>
              <w:left w:w="70" w:type="dxa"/>
              <w:right w:w="70" w:type="dxa"/>
            </w:tcMar>
          </w:tcPr>
          <w:p w14:paraId="530FB8F7" w14:textId="77777777" w:rsidR="00E63726" w:rsidRPr="005A0FC6" w:rsidRDefault="00E63726" w:rsidP="00555A56">
            <w:pPr>
              <w:rPr>
                <w:rFonts w:ascii="Times New Roman" w:eastAsia="Times New Roman" w:hAnsi="Times New Roman" w:cs="Times New Roman"/>
                <w:b/>
                <w:bCs/>
                <w:color w:val="424242"/>
                <w:sz w:val="18"/>
                <w:szCs w:val="18"/>
              </w:rPr>
            </w:pPr>
            <w:r w:rsidRPr="005A0FC6">
              <w:rPr>
                <w:rFonts w:ascii="Times New Roman" w:eastAsia="Times New Roman" w:hAnsi="Times New Roman" w:cs="Times New Roman"/>
                <w:b/>
                <w:bCs/>
                <w:color w:val="424242"/>
                <w:sz w:val="18"/>
                <w:szCs w:val="18"/>
              </w:rPr>
              <w:t>Open methodology</w:t>
            </w:r>
          </w:p>
        </w:tc>
        <w:tc>
          <w:tcPr>
            <w:tcW w:w="2835" w:type="dxa"/>
            <w:tcMar>
              <w:left w:w="70" w:type="dxa"/>
              <w:right w:w="70" w:type="dxa"/>
            </w:tcMar>
            <w:vAlign w:val="center"/>
          </w:tcPr>
          <w:p w14:paraId="1D37C7A1"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Methods transparency, open notebook, research transparency</w:t>
            </w:r>
          </w:p>
        </w:tc>
        <w:tc>
          <w:tcPr>
            <w:tcW w:w="524" w:type="dxa"/>
            <w:tcMar>
              <w:left w:w="70" w:type="dxa"/>
              <w:right w:w="70" w:type="dxa"/>
            </w:tcMar>
            <w:vAlign w:val="bottom"/>
          </w:tcPr>
          <w:p w14:paraId="7FF2348A"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09D6962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084B587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4D8DC890"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068F4661" w14:textId="77777777" w:rsidTr="00555A56">
        <w:trPr>
          <w:trHeight w:val="195"/>
        </w:trPr>
        <w:tc>
          <w:tcPr>
            <w:tcW w:w="1271" w:type="dxa"/>
            <w:vMerge/>
            <w:vAlign w:val="center"/>
          </w:tcPr>
          <w:p w14:paraId="5BC5E922"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528D9996"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Open protocol</w:t>
            </w:r>
          </w:p>
        </w:tc>
        <w:tc>
          <w:tcPr>
            <w:tcW w:w="524" w:type="dxa"/>
            <w:tcMar>
              <w:left w:w="70" w:type="dxa"/>
              <w:right w:w="70" w:type="dxa"/>
            </w:tcMar>
            <w:vAlign w:val="bottom"/>
          </w:tcPr>
          <w:p w14:paraId="1D4A0056"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1</w:t>
            </w:r>
          </w:p>
        </w:tc>
        <w:tc>
          <w:tcPr>
            <w:tcW w:w="1405" w:type="dxa"/>
            <w:tcMar>
              <w:left w:w="70" w:type="dxa"/>
              <w:right w:w="70" w:type="dxa"/>
            </w:tcMar>
            <w:vAlign w:val="bottom"/>
          </w:tcPr>
          <w:p w14:paraId="3AFBABD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preregistration</w:t>
            </w:r>
          </w:p>
        </w:tc>
        <w:tc>
          <w:tcPr>
            <w:tcW w:w="1951" w:type="dxa"/>
            <w:tcMar>
              <w:left w:w="70" w:type="dxa"/>
              <w:right w:w="70" w:type="dxa"/>
            </w:tcMar>
            <w:vAlign w:val="bottom"/>
          </w:tcPr>
          <w:p w14:paraId="63FC7E0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publication of protocol</w:t>
            </w:r>
          </w:p>
        </w:tc>
        <w:tc>
          <w:tcPr>
            <w:tcW w:w="1082" w:type="dxa"/>
            <w:tcMar>
              <w:left w:w="70" w:type="dxa"/>
              <w:right w:w="70" w:type="dxa"/>
            </w:tcMar>
            <w:vAlign w:val="bottom"/>
          </w:tcPr>
          <w:p w14:paraId="687C608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Gkiouras (2022)</w:t>
            </w:r>
          </w:p>
        </w:tc>
      </w:tr>
      <w:tr w:rsidR="00E63726" w:rsidRPr="00E63726" w14:paraId="11B4D00A" w14:textId="77777777" w:rsidTr="00555A56">
        <w:trPr>
          <w:trHeight w:val="405"/>
        </w:trPr>
        <w:tc>
          <w:tcPr>
            <w:tcW w:w="1271" w:type="dxa"/>
            <w:vMerge/>
            <w:vAlign w:val="center"/>
          </w:tcPr>
          <w:p w14:paraId="418BA0F9"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24AB50F7"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Pre-registration, study registration, analysis plan</w:t>
            </w:r>
          </w:p>
        </w:tc>
        <w:tc>
          <w:tcPr>
            <w:tcW w:w="524" w:type="dxa"/>
            <w:tcMar>
              <w:left w:w="70" w:type="dxa"/>
              <w:right w:w="70" w:type="dxa"/>
            </w:tcMar>
            <w:vAlign w:val="bottom"/>
          </w:tcPr>
          <w:p w14:paraId="5B4DEBC5"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5</w:t>
            </w:r>
          </w:p>
        </w:tc>
        <w:tc>
          <w:tcPr>
            <w:tcW w:w="1405" w:type="dxa"/>
            <w:tcMar>
              <w:left w:w="70" w:type="dxa"/>
              <w:right w:w="70" w:type="dxa"/>
            </w:tcMar>
            <w:vAlign w:val="bottom"/>
          </w:tcPr>
          <w:p w14:paraId="575ACED0"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preregistration</w:t>
            </w:r>
          </w:p>
        </w:tc>
        <w:tc>
          <w:tcPr>
            <w:tcW w:w="1951" w:type="dxa"/>
            <w:tcMar>
              <w:left w:w="70" w:type="dxa"/>
              <w:right w:w="70" w:type="dxa"/>
            </w:tcMar>
            <w:vAlign w:val="bottom"/>
          </w:tcPr>
          <w:p w14:paraId="51BCF12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preregistration</w:t>
            </w:r>
          </w:p>
        </w:tc>
        <w:tc>
          <w:tcPr>
            <w:tcW w:w="1082" w:type="dxa"/>
            <w:tcMar>
              <w:left w:w="70" w:type="dxa"/>
              <w:right w:w="70" w:type="dxa"/>
            </w:tcMar>
            <w:vAlign w:val="bottom"/>
          </w:tcPr>
          <w:p w14:paraId="587B6A96" w14:textId="77777777" w:rsidR="00E63726" w:rsidRPr="00E63726" w:rsidRDefault="00E63726" w:rsidP="00555A56">
            <w:pPr>
              <w:rPr>
                <w:rFonts w:ascii="Times New Roman" w:eastAsia="Times New Roman" w:hAnsi="Times New Roman" w:cs="Times New Roman"/>
                <w:color w:val="000000" w:themeColor="text1"/>
                <w:sz w:val="18"/>
                <w:szCs w:val="18"/>
                <w:lang w:val="nl-NL"/>
              </w:rPr>
            </w:pPr>
            <w:r w:rsidRPr="00E63726">
              <w:rPr>
                <w:rFonts w:ascii="Times New Roman" w:eastAsia="Times New Roman" w:hAnsi="Times New Roman" w:cs="Times New Roman"/>
                <w:color w:val="000000" w:themeColor="text1"/>
                <w:sz w:val="18"/>
                <w:szCs w:val="18"/>
                <w:lang w:val="nl-NL"/>
              </w:rPr>
              <w:t>Toth (2021; 3 studies), van der Braak (2022), Shamliyan (2014)</w:t>
            </w:r>
          </w:p>
        </w:tc>
      </w:tr>
      <w:tr w:rsidR="00E63726" w:rsidRPr="005A0FC6" w14:paraId="42453FD7" w14:textId="77777777" w:rsidTr="00555A56">
        <w:trPr>
          <w:trHeight w:val="195"/>
        </w:trPr>
        <w:tc>
          <w:tcPr>
            <w:tcW w:w="1271" w:type="dxa"/>
            <w:vMerge/>
            <w:vAlign w:val="center"/>
          </w:tcPr>
          <w:p w14:paraId="609DD76A" w14:textId="77777777" w:rsidR="00E63726" w:rsidRPr="00E63726" w:rsidRDefault="00E63726" w:rsidP="00555A56">
            <w:pPr>
              <w:rPr>
                <w:rFonts w:ascii="Times New Roman" w:hAnsi="Times New Roman" w:cs="Times New Roman"/>
                <w:sz w:val="18"/>
                <w:szCs w:val="18"/>
                <w:lang w:val="nl-NL"/>
              </w:rPr>
            </w:pPr>
          </w:p>
        </w:tc>
        <w:tc>
          <w:tcPr>
            <w:tcW w:w="2835" w:type="dxa"/>
            <w:tcMar>
              <w:left w:w="70" w:type="dxa"/>
              <w:right w:w="70" w:type="dxa"/>
            </w:tcMar>
            <w:vAlign w:val="center"/>
          </w:tcPr>
          <w:p w14:paraId="225DD7CC"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Pre-data-collection registration</w:t>
            </w:r>
          </w:p>
        </w:tc>
        <w:tc>
          <w:tcPr>
            <w:tcW w:w="524" w:type="dxa"/>
            <w:tcMar>
              <w:left w:w="70" w:type="dxa"/>
              <w:right w:w="70" w:type="dxa"/>
            </w:tcMar>
            <w:vAlign w:val="bottom"/>
          </w:tcPr>
          <w:p w14:paraId="052C823B"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178CD21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1064D98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07FAF99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7ABCED00" w14:textId="77777777" w:rsidTr="00555A56">
        <w:trPr>
          <w:trHeight w:val="195"/>
        </w:trPr>
        <w:tc>
          <w:tcPr>
            <w:tcW w:w="1271" w:type="dxa"/>
            <w:vMerge/>
            <w:vAlign w:val="center"/>
          </w:tcPr>
          <w:p w14:paraId="75AEE0DC"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50F55C3F"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Registered reports</w:t>
            </w:r>
          </w:p>
        </w:tc>
        <w:tc>
          <w:tcPr>
            <w:tcW w:w="524" w:type="dxa"/>
            <w:tcMar>
              <w:left w:w="70" w:type="dxa"/>
              <w:right w:w="70" w:type="dxa"/>
            </w:tcMar>
            <w:vAlign w:val="bottom"/>
          </w:tcPr>
          <w:p w14:paraId="6FE0AE55"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2</w:t>
            </w:r>
          </w:p>
        </w:tc>
        <w:tc>
          <w:tcPr>
            <w:tcW w:w="1405" w:type="dxa"/>
            <w:tcMar>
              <w:left w:w="70" w:type="dxa"/>
              <w:right w:w="70" w:type="dxa"/>
            </w:tcMar>
            <w:vAlign w:val="bottom"/>
          </w:tcPr>
          <w:p w14:paraId="198CDDB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preregistration</w:t>
            </w:r>
          </w:p>
        </w:tc>
        <w:tc>
          <w:tcPr>
            <w:tcW w:w="1951" w:type="dxa"/>
            <w:tcMar>
              <w:left w:w="70" w:type="dxa"/>
              <w:right w:w="70" w:type="dxa"/>
            </w:tcMar>
            <w:vAlign w:val="bottom"/>
          </w:tcPr>
          <w:p w14:paraId="4C23034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registered reports</w:t>
            </w:r>
          </w:p>
        </w:tc>
        <w:tc>
          <w:tcPr>
            <w:tcW w:w="1082" w:type="dxa"/>
            <w:tcMar>
              <w:left w:w="70" w:type="dxa"/>
              <w:right w:w="70" w:type="dxa"/>
            </w:tcMar>
            <w:vAlign w:val="bottom"/>
          </w:tcPr>
          <w:p w14:paraId="7642C64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Obels (2020), Soderberg (2021)</w:t>
            </w:r>
          </w:p>
        </w:tc>
      </w:tr>
      <w:tr w:rsidR="00E63726" w:rsidRPr="005A0FC6" w14:paraId="60B072C9" w14:textId="77777777" w:rsidTr="00555A56">
        <w:trPr>
          <w:trHeight w:val="195"/>
        </w:trPr>
        <w:tc>
          <w:tcPr>
            <w:tcW w:w="1271" w:type="dxa"/>
            <w:vMerge/>
            <w:vAlign w:val="center"/>
          </w:tcPr>
          <w:p w14:paraId="3CDD1229"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080E7DCC"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Analysis script sharing</w:t>
            </w:r>
          </w:p>
        </w:tc>
        <w:tc>
          <w:tcPr>
            <w:tcW w:w="524" w:type="dxa"/>
            <w:tcMar>
              <w:left w:w="70" w:type="dxa"/>
              <w:right w:w="70" w:type="dxa"/>
            </w:tcMar>
            <w:vAlign w:val="bottom"/>
          </w:tcPr>
          <w:p w14:paraId="2EFCB8DA"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304C507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7AB709A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5AFAC04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6C9B19C9" w14:textId="77777777" w:rsidTr="00555A56">
        <w:trPr>
          <w:trHeight w:val="195"/>
        </w:trPr>
        <w:tc>
          <w:tcPr>
            <w:tcW w:w="1271" w:type="dxa"/>
            <w:vMerge/>
            <w:vAlign w:val="center"/>
          </w:tcPr>
          <w:p w14:paraId="6C306BEC"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18A933F3"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Analysis transparency</w:t>
            </w:r>
          </w:p>
        </w:tc>
        <w:tc>
          <w:tcPr>
            <w:tcW w:w="524" w:type="dxa"/>
            <w:tcMar>
              <w:left w:w="70" w:type="dxa"/>
              <w:right w:w="70" w:type="dxa"/>
            </w:tcMar>
            <w:vAlign w:val="bottom"/>
          </w:tcPr>
          <w:p w14:paraId="2E3AA474"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1AC3D24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6567BDD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57EAFA8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6F6B26C9" w14:textId="77777777" w:rsidTr="00555A56">
        <w:trPr>
          <w:trHeight w:val="195"/>
        </w:trPr>
        <w:tc>
          <w:tcPr>
            <w:tcW w:w="1271" w:type="dxa"/>
            <w:vMerge/>
            <w:vAlign w:val="center"/>
          </w:tcPr>
          <w:p w14:paraId="15392C0F"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4D5BEEA0"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Design transparency</w:t>
            </w:r>
          </w:p>
        </w:tc>
        <w:tc>
          <w:tcPr>
            <w:tcW w:w="524" w:type="dxa"/>
            <w:tcMar>
              <w:left w:w="70" w:type="dxa"/>
              <w:right w:w="70" w:type="dxa"/>
            </w:tcMar>
            <w:vAlign w:val="bottom"/>
          </w:tcPr>
          <w:p w14:paraId="5ADE4C49"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1D21766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27C7CD6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37205BB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22131C50" w14:textId="77777777" w:rsidTr="00555A56">
        <w:trPr>
          <w:trHeight w:val="195"/>
        </w:trPr>
        <w:tc>
          <w:tcPr>
            <w:tcW w:w="1271" w:type="dxa"/>
            <w:vMerge/>
            <w:vAlign w:val="center"/>
          </w:tcPr>
          <w:p w14:paraId="7CBBECC5"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5077363B"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Reproducible research practices</w:t>
            </w:r>
          </w:p>
        </w:tc>
        <w:tc>
          <w:tcPr>
            <w:tcW w:w="524" w:type="dxa"/>
            <w:tcMar>
              <w:left w:w="70" w:type="dxa"/>
              <w:right w:w="70" w:type="dxa"/>
            </w:tcMar>
            <w:vAlign w:val="bottom"/>
          </w:tcPr>
          <w:p w14:paraId="0868483C"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23A7CE4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77A0971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66D204E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6EEC187D" w14:textId="77777777" w:rsidTr="00555A56">
        <w:trPr>
          <w:trHeight w:val="195"/>
        </w:trPr>
        <w:tc>
          <w:tcPr>
            <w:tcW w:w="1271" w:type="dxa"/>
            <w:vMerge/>
            <w:vAlign w:val="center"/>
          </w:tcPr>
          <w:p w14:paraId="5231EF58"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60B7EB58"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Project workflow</w:t>
            </w:r>
          </w:p>
        </w:tc>
        <w:tc>
          <w:tcPr>
            <w:tcW w:w="524" w:type="dxa"/>
            <w:tcMar>
              <w:left w:w="70" w:type="dxa"/>
              <w:right w:w="70" w:type="dxa"/>
            </w:tcMar>
            <w:vAlign w:val="bottom"/>
          </w:tcPr>
          <w:p w14:paraId="0ACC69C9"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2</w:t>
            </w:r>
          </w:p>
        </w:tc>
        <w:tc>
          <w:tcPr>
            <w:tcW w:w="1405" w:type="dxa"/>
            <w:tcMar>
              <w:left w:w="70" w:type="dxa"/>
              <w:right w:w="70" w:type="dxa"/>
            </w:tcMar>
            <w:vAlign w:val="bottom"/>
          </w:tcPr>
          <w:p w14:paraId="5F02FD30"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standardization</w:t>
            </w:r>
          </w:p>
        </w:tc>
        <w:tc>
          <w:tcPr>
            <w:tcW w:w="1951" w:type="dxa"/>
            <w:tcMar>
              <w:left w:w="70" w:type="dxa"/>
              <w:right w:w="70" w:type="dxa"/>
            </w:tcMar>
            <w:vAlign w:val="bottom"/>
          </w:tcPr>
          <w:p w14:paraId="10B80AF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standardization of processes</w:t>
            </w:r>
          </w:p>
        </w:tc>
        <w:tc>
          <w:tcPr>
            <w:tcW w:w="1082" w:type="dxa"/>
            <w:tcMar>
              <w:left w:w="70" w:type="dxa"/>
              <w:right w:w="70" w:type="dxa"/>
            </w:tcMar>
            <w:vAlign w:val="bottom"/>
          </w:tcPr>
          <w:p w14:paraId="7F8A124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Arroyo-Araujo (2019), Shen (2023)</w:t>
            </w:r>
          </w:p>
        </w:tc>
      </w:tr>
      <w:tr w:rsidR="00E63726" w:rsidRPr="005A0FC6" w14:paraId="57C231DF" w14:textId="77777777" w:rsidTr="00555A56">
        <w:trPr>
          <w:trHeight w:val="195"/>
        </w:trPr>
        <w:tc>
          <w:tcPr>
            <w:tcW w:w="1271" w:type="dxa"/>
            <w:vMerge/>
            <w:vAlign w:val="center"/>
          </w:tcPr>
          <w:p w14:paraId="7274666C"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768A368A"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Other</w:t>
            </w:r>
          </w:p>
        </w:tc>
        <w:tc>
          <w:tcPr>
            <w:tcW w:w="524" w:type="dxa"/>
            <w:tcMar>
              <w:left w:w="70" w:type="dxa"/>
              <w:right w:w="70" w:type="dxa"/>
            </w:tcMar>
            <w:vAlign w:val="bottom"/>
          </w:tcPr>
          <w:p w14:paraId="2F5B4F55"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5CFF4BD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490C65E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7BADDB4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6B2FEB7A" w14:textId="77777777" w:rsidTr="00555A56">
        <w:trPr>
          <w:trHeight w:val="195"/>
        </w:trPr>
        <w:tc>
          <w:tcPr>
            <w:tcW w:w="1271" w:type="dxa"/>
            <w:vMerge w:val="restart"/>
            <w:tcMar>
              <w:left w:w="70" w:type="dxa"/>
              <w:right w:w="70" w:type="dxa"/>
            </w:tcMar>
          </w:tcPr>
          <w:p w14:paraId="5000143F" w14:textId="77777777" w:rsidR="00E63726" w:rsidRPr="005A0FC6" w:rsidRDefault="00E63726" w:rsidP="00555A56">
            <w:pPr>
              <w:rPr>
                <w:rFonts w:ascii="Times New Roman" w:eastAsia="Times New Roman" w:hAnsi="Times New Roman" w:cs="Times New Roman"/>
                <w:b/>
                <w:bCs/>
                <w:color w:val="424242"/>
                <w:sz w:val="18"/>
                <w:szCs w:val="18"/>
              </w:rPr>
            </w:pPr>
            <w:r w:rsidRPr="005A0FC6">
              <w:rPr>
                <w:rFonts w:ascii="Times New Roman" w:eastAsia="Times New Roman" w:hAnsi="Times New Roman" w:cs="Times New Roman"/>
                <w:b/>
                <w:bCs/>
                <w:color w:val="424242"/>
                <w:sz w:val="18"/>
                <w:szCs w:val="18"/>
              </w:rPr>
              <w:t>Open science policies and guidelines</w:t>
            </w:r>
          </w:p>
        </w:tc>
        <w:tc>
          <w:tcPr>
            <w:tcW w:w="2835" w:type="dxa"/>
            <w:vMerge w:val="restart"/>
            <w:tcMar>
              <w:left w:w="70" w:type="dxa"/>
              <w:right w:w="70" w:type="dxa"/>
            </w:tcMar>
          </w:tcPr>
          <w:p w14:paraId="2E15A5BB"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Rewards and incentives</w:t>
            </w:r>
          </w:p>
        </w:tc>
        <w:tc>
          <w:tcPr>
            <w:tcW w:w="524" w:type="dxa"/>
            <w:vMerge w:val="restart"/>
            <w:tcMar>
              <w:left w:w="70" w:type="dxa"/>
              <w:right w:w="70" w:type="dxa"/>
            </w:tcMar>
          </w:tcPr>
          <w:p w14:paraId="0F83BF8B"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9</w:t>
            </w:r>
          </w:p>
        </w:tc>
        <w:tc>
          <w:tcPr>
            <w:tcW w:w="1405" w:type="dxa"/>
            <w:tcMar>
              <w:left w:w="70" w:type="dxa"/>
              <w:right w:w="70" w:type="dxa"/>
            </w:tcMar>
            <w:vAlign w:val="bottom"/>
          </w:tcPr>
          <w:p w14:paraId="4C57EB5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data/code sharing</w:t>
            </w:r>
          </w:p>
        </w:tc>
        <w:tc>
          <w:tcPr>
            <w:tcW w:w="1951" w:type="dxa"/>
            <w:tcMar>
              <w:left w:w="70" w:type="dxa"/>
              <w:right w:w="70" w:type="dxa"/>
            </w:tcMar>
            <w:vAlign w:val="bottom"/>
          </w:tcPr>
          <w:p w14:paraId="63EC837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badge for code sharing</w:t>
            </w:r>
          </w:p>
        </w:tc>
        <w:tc>
          <w:tcPr>
            <w:tcW w:w="1082" w:type="dxa"/>
            <w:tcMar>
              <w:left w:w="70" w:type="dxa"/>
              <w:right w:w="70" w:type="dxa"/>
            </w:tcMar>
            <w:vAlign w:val="bottom"/>
          </w:tcPr>
          <w:p w14:paraId="037CF0D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Rowhani-Farid (2018; 2 studies)</w:t>
            </w:r>
          </w:p>
        </w:tc>
      </w:tr>
      <w:tr w:rsidR="00E63726" w:rsidRPr="005A0FC6" w14:paraId="5C74CD71" w14:textId="77777777" w:rsidTr="00555A56">
        <w:trPr>
          <w:trHeight w:val="405"/>
        </w:trPr>
        <w:tc>
          <w:tcPr>
            <w:tcW w:w="1271" w:type="dxa"/>
            <w:vMerge/>
            <w:vAlign w:val="center"/>
          </w:tcPr>
          <w:p w14:paraId="286987D4"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738CA80E"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76180B55"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1377AB9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data/code sharing</w:t>
            </w:r>
          </w:p>
        </w:tc>
        <w:tc>
          <w:tcPr>
            <w:tcW w:w="1951" w:type="dxa"/>
            <w:tcMar>
              <w:left w:w="70" w:type="dxa"/>
              <w:right w:w="70" w:type="dxa"/>
            </w:tcMar>
            <w:vAlign w:val="bottom"/>
          </w:tcPr>
          <w:p w14:paraId="70FEDFD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badge for open data</w:t>
            </w:r>
          </w:p>
        </w:tc>
        <w:tc>
          <w:tcPr>
            <w:tcW w:w="1082" w:type="dxa"/>
            <w:tcMar>
              <w:left w:w="70" w:type="dxa"/>
              <w:right w:w="70" w:type="dxa"/>
            </w:tcMar>
            <w:vAlign w:val="bottom"/>
          </w:tcPr>
          <w:p w14:paraId="7CDD9A4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Crüwell (2023), Hardwicke (2021), Rowhani-Farid (2020)</w:t>
            </w:r>
          </w:p>
        </w:tc>
      </w:tr>
      <w:tr w:rsidR="00E63726" w:rsidRPr="005A0FC6" w14:paraId="34AEC793" w14:textId="77777777" w:rsidTr="00555A56">
        <w:trPr>
          <w:trHeight w:val="195"/>
        </w:trPr>
        <w:tc>
          <w:tcPr>
            <w:tcW w:w="1271" w:type="dxa"/>
            <w:vMerge/>
            <w:vAlign w:val="center"/>
          </w:tcPr>
          <w:p w14:paraId="07FA49B0"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27E98C0D"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45AEA185"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57773A2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data/code sharing</w:t>
            </w:r>
          </w:p>
        </w:tc>
        <w:tc>
          <w:tcPr>
            <w:tcW w:w="1951" w:type="dxa"/>
            <w:tcMar>
              <w:left w:w="70" w:type="dxa"/>
              <w:right w:w="70" w:type="dxa"/>
            </w:tcMar>
            <w:vAlign w:val="bottom"/>
          </w:tcPr>
          <w:p w14:paraId="13FE543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badge for open data and materials</w:t>
            </w:r>
          </w:p>
        </w:tc>
        <w:tc>
          <w:tcPr>
            <w:tcW w:w="1082" w:type="dxa"/>
            <w:tcMar>
              <w:left w:w="70" w:type="dxa"/>
              <w:right w:w="70" w:type="dxa"/>
            </w:tcMar>
            <w:vAlign w:val="bottom"/>
          </w:tcPr>
          <w:p w14:paraId="1EF1935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Kidwell (2016)</w:t>
            </w:r>
          </w:p>
        </w:tc>
      </w:tr>
      <w:tr w:rsidR="00E63726" w:rsidRPr="005A0FC6" w14:paraId="1877846B" w14:textId="77777777" w:rsidTr="00555A56">
        <w:trPr>
          <w:trHeight w:val="195"/>
        </w:trPr>
        <w:tc>
          <w:tcPr>
            <w:tcW w:w="1271" w:type="dxa"/>
            <w:vMerge/>
            <w:vAlign w:val="center"/>
          </w:tcPr>
          <w:p w14:paraId="302B311D"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0407EFCB"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3F86F272"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370FE5F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data/code sharing</w:t>
            </w:r>
          </w:p>
        </w:tc>
        <w:tc>
          <w:tcPr>
            <w:tcW w:w="1951" w:type="dxa"/>
            <w:tcMar>
              <w:left w:w="70" w:type="dxa"/>
              <w:right w:w="70" w:type="dxa"/>
            </w:tcMar>
            <w:vAlign w:val="bottom"/>
          </w:tcPr>
          <w:p w14:paraId="77F70E4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badge for open science</w:t>
            </w:r>
          </w:p>
        </w:tc>
        <w:tc>
          <w:tcPr>
            <w:tcW w:w="1082" w:type="dxa"/>
            <w:tcMar>
              <w:left w:w="70" w:type="dxa"/>
              <w:right w:w="70" w:type="dxa"/>
            </w:tcMar>
            <w:vAlign w:val="bottom"/>
          </w:tcPr>
          <w:p w14:paraId="5BEC6F5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Nuijten (2017)</w:t>
            </w:r>
          </w:p>
        </w:tc>
      </w:tr>
      <w:tr w:rsidR="00E63726" w:rsidRPr="005A0FC6" w14:paraId="461CE177" w14:textId="77777777" w:rsidTr="00555A56">
        <w:trPr>
          <w:trHeight w:val="195"/>
        </w:trPr>
        <w:tc>
          <w:tcPr>
            <w:tcW w:w="1271" w:type="dxa"/>
            <w:vMerge/>
            <w:vAlign w:val="center"/>
          </w:tcPr>
          <w:p w14:paraId="3C1FB85D"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27F0AA2B"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56BCFA0D"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2AD1BB0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open science</w:t>
            </w:r>
          </w:p>
        </w:tc>
        <w:tc>
          <w:tcPr>
            <w:tcW w:w="1951" w:type="dxa"/>
            <w:tcMar>
              <w:left w:w="70" w:type="dxa"/>
              <w:right w:w="70" w:type="dxa"/>
            </w:tcMar>
            <w:vAlign w:val="bottom"/>
          </w:tcPr>
          <w:p w14:paraId="4B011AD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badge for open science</w:t>
            </w:r>
          </w:p>
        </w:tc>
        <w:tc>
          <w:tcPr>
            <w:tcW w:w="1082" w:type="dxa"/>
            <w:tcMar>
              <w:left w:w="70" w:type="dxa"/>
              <w:right w:w="70" w:type="dxa"/>
            </w:tcMar>
            <w:vAlign w:val="bottom"/>
          </w:tcPr>
          <w:p w14:paraId="046F8A6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Giofre (2017), Giofre (2022)</w:t>
            </w:r>
          </w:p>
        </w:tc>
      </w:tr>
      <w:tr w:rsidR="00E63726" w:rsidRPr="005A0FC6" w14:paraId="2BD82262" w14:textId="77777777" w:rsidTr="00555A56">
        <w:trPr>
          <w:trHeight w:val="195"/>
        </w:trPr>
        <w:tc>
          <w:tcPr>
            <w:tcW w:w="1271" w:type="dxa"/>
            <w:vMerge/>
            <w:vAlign w:val="center"/>
          </w:tcPr>
          <w:p w14:paraId="5D02627A"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3F88D0C4"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Concordats</w:t>
            </w:r>
          </w:p>
        </w:tc>
        <w:tc>
          <w:tcPr>
            <w:tcW w:w="524" w:type="dxa"/>
            <w:tcMar>
              <w:left w:w="70" w:type="dxa"/>
              <w:right w:w="70" w:type="dxa"/>
            </w:tcMar>
            <w:vAlign w:val="bottom"/>
          </w:tcPr>
          <w:p w14:paraId="7EBDBF00"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50554DF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739E182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1311C5A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300F4C46" w14:textId="77777777" w:rsidTr="00555A56">
        <w:trPr>
          <w:trHeight w:val="195"/>
        </w:trPr>
        <w:tc>
          <w:tcPr>
            <w:tcW w:w="1271" w:type="dxa"/>
            <w:vMerge/>
            <w:vAlign w:val="center"/>
          </w:tcPr>
          <w:p w14:paraId="1DABE278"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661BD967"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Promotion and tenure policies</w:t>
            </w:r>
          </w:p>
        </w:tc>
        <w:tc>
          <w:tcPr>
            <w:tcW w:w="524" w:type="dxa"/>
            <w:tcMar>
              <w:left w:w="70" w:type="dxa"/>
              <w:right w:w="70" w:type="dxa"/>
            </w:tcMar>
            <w:vAlign w:val="bottom"/>
          </w:tcPr>
          <w:p w14:paraId="55702D04"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4B7BE22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6AA0852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2B211AD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756ECC64" w14:textId="77777777" w:rsidTr="00555A56">
        <w:trPr>
          <w:trHeight w:val="405"/>
        </w:trPr>
        <w:tc>
          <w:tcPr>
            <w:tcW w:w="1271" w:type="dxa"/>
            <w:vMerge/>
            <w:vAlign w:val="center"/>
          </w:tcPr>
          <w:p w14:paraId="55EDECAD" w14:textId="77777777" w:rsidR="00E63726" w:rsidRPr="005A0FC6" w:rsidRDefault="00E63726" w:rsidP="00555A56">
            <w:pPr>
              <w:rPr>
                <w:rFonts w:ascii="Times New Roman" w:hAnsi="Times New Roman" w:cs="Times New Roman"/>
                <w:sz w:val="18"/>
                <w:szCs w:val="18"/>
              </w:rPr>
            </w:pPr>
          </w:p>
        </w:tc>
        <w:tc>
          <w:tcPr>
            <w:tcW w:w="2835" w:type="dxa"/>
            <w:vMerge w:val="restart"/>
            <w:tcMar>
              <w:left w:w="70" w:type="dxa"/>
              <w:right w:w="70" w:type="dxa"/>
            </w:tcMar>
          </w:tcPr>
          <w:p w14:paraId="239D7B1F"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Reporting guidelines, reporting standards</w:t>
            </w:r>
          </w:p>
        </w:tc>
        <w:tc>
          <w:tcPr>
            <w:tcW w:w="524" w:type="dxa"/>
            <w:vMerge w:val="restart"/>
            <w:tcMar>
              <w:left w:w="70" w:type="dxa"/>
              <w:right w:w="70" w:type="dxa"/>
            </w:tcMar>
          </w:tcPr>
          <w:p w14:paraId="6B8918AB"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15</w:t>
            </w:r>
          </w:p>
        </w:tc>
        <w:tc>
          <w:tcPr>
            <w:tcW w:w="1405" w:type="dxa"/>
            <w:tcMar>
              <w:left w:w="70" w:type="dxa"/>
              <w:right w:w="70" w:type="dxa"/>
            </w:tcMar>
            <w:vAlign w:val="bottom"/>
          </w:tcPr>
          <w:p w14:paraId="0584521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reporting guidelines</w:t>
            </w:r>
          </w:p>
        </w:tc>
        <w:tc>
          <w:tcPr>
            <w:tcW w:w="1951" w:type="dxa"/>
            <w:tcMar>
              <w:left w:w="70" w:type="dxa"/>
              <w:right w:w="70" w:type="dxa"/>
            </w:tcMar>
            <w:vAlign w:val="bottom"/>
          </w:tcPr>
          <w:p w14:paraId="404EA48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use of reporting checklist</w:t>
            </w:r>
          </w:p>
        </w:tc>
        <w:tc>
          <w:tcPr>
            <w:tcW w:w="1082" w:type="dxa"/>
            <w:tcMar>
              <w:left w:w="70" w:type="dxa"/>
              <w:right w:w="70" w:type="dxa"/>
            </w:tcMar>
            <w:vAlign w:val="bottom"/>
          </w:tcPr>
          <w:p w14:paraId="240BD81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Caron (2017), Fuller (2014), Nguyen (2022)</w:t>
            </w:r>
          </w:p>
        </w:tc>
      </w:tr>
      <w:tr w:rsidR="00E63726" w:rsidRPr="005A0FC6" w14:paraId="50647272" w14:textId="77777777" w:rsidTr="00555A56">
        <w:trPr>
          <w:trHeight w:val="1200"/>
        </w:trPr>
        <w:tc>
          <w:tcPr>
            <w:tcW w:w="1271" w:type="dxa"/>
            <w:vMerge/>
            <w:vAlign w:val="center"/>
          </w:tcPr>
          <w:p w14:paraId="36A3FBD5"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4C00FC9C"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5CE7CB88"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4377F89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reporting guidelines</w:t>
            </w:r>
          </w:p>
        </w:tc>
        <w:tc>
          <w:tcPr>
            <w:tcW w:w="1951" w:type="dxa"/>
            <w:tcMar>
              <w:left w:w="70" w:type="dxa"/>
              <w:right w:w="70" w:type="dxa"/>
            </w:tcMar>
            <w:vAlign w:val="bottom"/>
          </w:tcPr>
          <w:p w14:paraId="6C88D76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publication of reporting checklist</w:t>
            </w:r>
          </w:p>
        </w:tc>
        <w:tc>
          <w:tcPr>
            <w:tcW w:w="1082" w:type="dxa"/>
            <w:tcMar>
              <w:left w:w="70" w:type="dxa"/>
              <w:right w:w="70" w:type="dxa"/>
            </w:tcMar>
            <w:vAlign w:val="bottom"/>
          </w:tcPr>
          <w:p w14:paraId="58BC71B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Agha (2017), Can (2011), Chow (2018), Clayson (2019), Howell (2015), Liu (2022), </w:t>
            </w:r>
            <w:r w:rsidRPr="005A0FC6">
              <w:rPr>
                <w:rFonts w:ascii="Times New Roman" w:eastAsia="Times New Roman" w:hAnsi="Times New Roman" w:cs="Times New Roman"/>
                <w:color w:val="000000" w:themeColor="text1"/>
                <w:sz w:val="18"/>
                <w:szCs w:val="18"/>
              </w:rPr>
              <w:lastRenderedPageBreak/>
              <w:t>Meredith (2019), Palmer (2021), Salameh (2019), Vassar (2020), Veroniki (2021)</w:t>
            </w:r>
          </w:p>
        </w:tc>
      </w:tr>
      <w:tr w:rsidR="00E63726" w:rsidRPr="005A0FC6" w14:paraId="7670C276" w14:textId="77777777" w:rsidTr="00555A56">
        <w:trPr>
          <w:trHeight w:val="195"/>
        </w:trPr>
        <w:tc>
          <w:tcPr>
            <w:tcW w:w="1271" w:type="dxa"/>
            <w:vMerge/>
            <w:vAlign w:val="center"/>
          </w:tcPr>
          <w:p w14:paraId="388752E3" w14:textId="77777777" w:rsidR="00E63726" w:rsidRPr="005A0FC6" w:rsidRDefault="00E63726" w:rsidP="00555A56">
            <w:pPr>
              <w:rPr>
                <w:rFonts w:ascii="Times New Roman" w:hAnsi="Times New Roman" w:cs="Times New Roman"/>
                <w:sz w:val="18"/>
                <w:szCs w:val="18"/>
                <w:lang w:val="en-US"/>
              </w:rPr>
            </w:pPr>
          </w:p>
        </w:tc>
        <w:tc>
          <w:tcPr>
            <w:tcW w:w="2835" w:type="dxa"/>
            <w:vMerge/>
            <w:vAlign w:val="center"/>
          </w:tcPr>
          <w:p w14:paraId="3A838F47" w14:textId="77777777" w:rsidR="00E63726" w:rsidRPr="005A0FC6" w:rsidRDefault="00E63726" w:rsidP="00555A56">
            <w:pPr>
              <w:rPr>
                <w:rFonts w:ascii="Times New Roman" w:hAnsi="Times New Roman" w:cs="Times New Roman"/>
                <w:sz w:val="18"/>
                <w:szCs w:val="18"/>
                <w:lang w:val="en-US"/>
              </w:rPr>
            </w:pPr>
          </w:p>
        </w:tc>
        <w:tc>
          <w:tcPr>
            <w:tcW w:w="524" w:type="dxa"/>
            <w:vMerge/>
            <w:vAlign w:val="center"/>
          </w:tcPr>
          <w:p w14:paraId="641C7533" w14:textId="77777777" w:rsidR="00E63726" w:rsidRPr="005A0FC6" w:rsidRDefault="00E63726" w:rsidP="00555A56">
            <w:pPr>
              <w:rPr>
                <w:rFonts w:ascii="Times New Roman" w:hAnsi="Times New Roman" w:cs="Times New Roman"/>
                <w:sz w:val="18"/>
                <w:szCs w:val="18"/>
                <w:lang w:val="en-US"/>
              </w:rPr>
            </w:pPr>
          </w:p>
        </w:tc>
        <w:tc>
          <w:tcPr>
            <w:tcW w:w="1405" w:type="dxa"/>
            <w:tcMar>
              <w:left w:w="70" w:type="dxa"/>
              <w:right w:w="70" w:type="dxa"/>
            </w:tcMar>
            <w:vAlign w:val="bottom"/>
          </w:tcPr>
          <w:p w14:paraId="32C920A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methodological guidelines</w:t>
            </w:r>
          </w:p>
        </w:tc>
        <w:tc>
          <w:tcPr>
            <w:tcW w:w="1951" w:type="dxa"/>
            <w:tcMar>
              <w:left w:w="70" w:type="dxa"/>
              <w:right w:w="70" w:type="dxa"/>
            </w:tcMar>
            <w:vAlign w:val="bottom"/>
          </w:tcPr>
          <w:p w14:paraId="68F5D16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publication of methodological guidelines</w:t>
            </w:r>
          </w:p>
        </w:tc>
        <w:tc>
          <w:tcPr>
            <w:tcW w:w="1082" w:type="dxa"/>
            <w:tcMar>
              <w:left w:w="70" w:type="dxa"/>
              <w:right w:w="70" w:type="dxa"/>
            </w:tcMar>
            <w:vAlign w:val="bottom"/>
          </w:tcPr>
          <w:p w14:paraId="396F1B2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Fernandes (2019)</w:t>
            </w:r>
          </w:p>
        </w:tc>
      </w:tr>
      <w:tr w:rsidR="00E63726" w:rsidRPr="005A0FC6" w14:paraId="079DEE53" w14:textId="77777777" w:rsidTr="00555A56">
        <w:trPr>
          <w:trHeight w:val="195"/>
        </w:trPr>
        <w:tc>
          <w:tcPr>
            <w:tcW w:w="1271" w:type="dxa"/>
            <w:vMerge/>
            <w:vAlign w:val="center"/>
          </w:tcPr>
          <w:p w14:paraId="5EE12446"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7E39718F"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TOP Guidelines (Transparency and Openness Promotion)</w:t>
            </w:r>
          </w:p>
        </w:tc>
        <w:tc>
          <w:tcPr>
            <w:tcW w:w="524" w:type="dxa"/>
            <w:tcMar>
              <w:left w:w="70" w:type="dxa"/>
              <w:right w:w="70" w:type="dxa"/>
            </w:tcMar>
            <w:vAlign w:val="bottom"/>
          </w:tcPr>
          <w:p w14:paraId="7CC67CDF"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65B1760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64094CC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53D403A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50E4A1D9" w14:textId="77777777" w:rsidTr="00555A56">
        <w:trPr>
          <w:trHeight w:val="405"/>
        </w:trPr>
        <w:tc>
          <w:tcPr>
            <w:tcW w:w="1271" w:type="dxa"/>
            <w:vMerge/>
            <w:vAlign w:val="center"/>
          </w:tcPr>
          <w:p w14:paraId="50CC9DE6" w14:textId="77777777" w:rsidR="00E63726" w:rsidRPr="005A0FC6" w:rsidRDefault="00E63726" w:rsidP="00555A56">
            <w:pPr>
              <w:rPr>
                <w:rFonts w:ascii="Times New Roman" w:hAnsi="Times New Roman" w:cs="Times New Roman"/>
                <w:sz w:val="18"/>
                <w:szCs w:val="18"/>
              </w:rPr>
            </w:pPr>
          </w:p>
        </w:tc>
        <w:tc>
          <w:tcPr>
            <w:tcW w:w="2835" w:type="dxa"/>
            <w:vMerge w:val="restart"/>
            <w:tcMar>
              <w:left w:w="70" w:type="dxa"/>
              <w:right w:w="70" w:type="dxa"/>
            </w:tcMar>
          </w:tcPr>
          <w:p w14:paraId="54D25FCA"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Policy guidelines (e.g., of funders/publishers)</w:t>
            </w:r>
          </w:p>
        </w:tc>
        <w:tc>
          <w:tcPr>
            <w:tcW w:w="524" w:type="dxa"/>
            <w:vMerge w:val="restart"/>
            <w:tcMar>
              <w:left w:w="70" w:type="dxa"/>
              <w:right w:w="70" w:type="dxa"/>
            </w:tcMar>
          </w:tcPr>
          <w:p w14:paraId="25B19D0E"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49</w:t>
            </w:r>
          </w:p>
        </w:tc>
        <w:tc>
          <w:tcPr>
            <w:tcW w:w="1405" w:type="dxa"/>
            <w:tcMar>
              <w:left w:w="70" w:type="dxa"/>
              <w:right w:w="70" w:type="dxa"/>
            </w:tcMar>
            <w:vAlign w:val="bottom"/>
          </w:tcPr>
          <w:p w14:paraId="29E2DF4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data/code sharing</w:t>
            </w:r>
          </w:p>
        </w:tc>
        <w:tc>
          <w:tcPr>
            <w:tcW w:w="1951" w:type="dxa"/>
            <w:tcMar>
              <w:left w:w="70" w:type="dxa"/>
              <w:right w:w="70" w:type="dxa"/>
            </w:tcMar>
            <w:vAlign w:val="bottom"/>
          </w:tcPr>
          <w:p w14:paraId="7F9D762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journal submission guidelines</w:t>
            </w:r>
          </w:p>
        </w:tc>
        <w:tc>
          <w:tcPr>
            <w:tcW w:w="1082" w:type="dxa"/>
            <w:tcMar>
              <w:left w:w="70" w:type="dxa"/>
              <w:right w:w="70" w:type="dxa"/>
            </w:tcMar>
            <w:vAlign w:val="bottom"/>
          </w:tcPr>
          <w:p w14:paraId="56CB50B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Alsheikh-Ali (2011), Hamilton (2022), Hamilton (2023)</w:t>
            </w:r>
          </w:p>
        </w:tc>
      </w:tr>
      <w:tr w:rsidR="00E63726" w:rsidRPr="005A0FC6" w14:paraId="52A84A23" w14:textId="77777777" w:rsidTr="00555A56">
        <w:trPr>
          <w:trHeight w:val="195"/>
        </w:trPr>
        <w:tc>
          <w:tcPr>
            <w:tcW w:w="1271" w:type="dxa"/>
            <w:vMerge/>
            <w:vAlign w:val="center"/>
          </w:tcPr>
          <w:p w14:paraId="6E21D719"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2345CF0C"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4824C7AA"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460CA97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data/code sharing</w:t>
            </w:r>
          </w:p>
        </w:tc>
        <w:tc>
          <w:tcPr>
            <w:tcW w:w="1951" w:type="dxa"/>
            <w:tcMar>
              <w:left w:w="70" w:type="dxa"/>
              <w:right w:w="70" w:type="dxa"/>
            </w:tcMar>
            <w:vAlign w:val="bottom"/>
          </w:tcPr>
          <w:p w14:paraId="6ECDF280"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journal data/code sharing policy</w:t>
            </w:r>
          </w:p>
        </w:tc>
        <w:tc>
          <w:tcPr>
            <w:tcW w:w="1082" w:type="dxa"/>
            <w:tcMar>
              <w:left w:w="70" w:type="dxa"/>
              <w:right w:w="70" w:type="dxa"/>
            </w:tcMar>
            <w:vAlign w:val="bottom"/>
          </w:tcPr>
          <w:p w14:paraId="6DDD022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Askarov (2022), Auspurg (2020)</w:t>
            </w:r>
          </w:p>
        </w:tc>
      </w:tr>
      <w:tr w:rsidR="00E63726" w:rsidRPr="005A0FC6" w14:paraId="64C966AF" w14:textId="77777777" w:rsidTr="00555A56">
        <w:trPr>
          <w:trHeight w:val="795"/>
        </w:trPr>
        <w:tc>
          <w:tcPr>
            <w:tcW w:w="1271" w:type="dxa"/>
            <w:vMerge/>
            <w:vAlign w:val="center"/>
          </w:tcPr>
          <w:p w14:paraId="1D3114EE"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7EFCBDBB"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4107B5E1"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5FD957D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data/code sharing</w:t>
            </w:r>
          </w:p>
        </w:tc>
        <w:tc>
          <w:tcPr>
            <w:tcW w:w="1951" w:type="dxa"/>
            <w:tcMar>
              <w:left w:w="70" w:type="dxa"/>
              <w:right w:w="70" w:type="dxa"/>
            </w:tcMar>
            <w:vAlign w:val="bottom"/>
          </w:tcPr>
          <w:p w14:paraId="300B006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ICMJE data sharing statement</w:t>
            </w:r>
          </w:p>
        </w:tc>
        <w:tc>
          <w:tcPr>
            <w:tcW w:w="1082" w:type="dxa"/>
            <w:tcMar>
              <w:left w:w="70" w:type="dxa"/>
              <w:right w:w="70" w:type="dxa"/>
            </w:tcMar>
            <w:vAlign w:val="bottom"/>
          </w:tcPr>
          <w:p w14:paraId="311A9B6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Bergeat (2022), Danchev (2021), Ruamviboonsuk (2023), Siebert (2020)</w:t>
            </w:r>
          </w:p>
        </w:tc>
      </w:tr>
      <w:tr w:rsidR="00E63726" w:rsidRPr="005A0FC6" w14:paraId="0212FBF9" w14:textId="77777777" w:rsidTr="00555A56">
        <w:trPr>
          <w:trHeight w:val="195"/>
        </w:trPr>
        <w:tc>
          <w:tcPr>
            <w:tcW w:w="1271" w:type="dxa"/>
            <w:vMerge/>
            <w:vAlign w:val="center"/>
          </w:tcPr>
          <w:p w14:paraId="1D75295C"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32C06379"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19B4E383"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4B88E82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data/code sharing</w:t>
            </w:r>
          </w:p>
        </w:tc>
        <w:tc>
          <w:tcPr>
            <w:tcW w:w="1951" w:type="dxa"/>
            <w:tcMar>
              <w:left w:w="70" w:type="dxa"/>
              <w:right w:w="70" w:type="dxa"/>
            </w:tcMar>
            <w:vAlign w:val="bottom"/>
          </w:tcPr>
          <w:p w14:paraId="5E3F695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journal code sharing policy</w:t>
            </w:r>
          </w:p>
        </w:tc>
        <w:tc>
          <w:tcPr>
            <w:tcW w:w="1082" w:type="dxa"/>
            <w:tcMar>
              <w:left w:w="70" w:type="dxa"/>
              <w:right w:w="70" w:type="dxa"/>
            </w:tcMar>
            <w:vAlign w:val="bottom"/>
          </w:tcPr>
          <w:p w14:paraId="41B9703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Culina (2020)</w:t>
            </w:r>
          </w:p>
        </w:tc>
      </w:tr>
      <w:tr w:rsidR="00E63726" w:rsidRPr="005A0FC6" w14:paraId="61A7A843" w14:textId="77777777" w:rsidTr="00555A56">
        <w:trPr>
          <w:trHeight w:val="1395"/>
        </w:trPr>
        <w:tc>
          <w:tcPr>
            <w:tcW w:w="1271" w:type="dxa"/>
            <w:vMerge/>
            <w:vAlign w:val="center"/>
          </w:tcPr>
          <w:p w14:paraId="2D593AF4"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53375EA9"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0E3756D5"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7C0AF04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data/code sharing</w:t>
            </w:r>
          </w:p>
        </w:tc>
        <w:tc>
          <w:tcPr>
            <w:tcW w:w="1951" w:type="dxa"/>
            <w:tcMar>
              <w:left w:w="70" w:type="dxa"/>
              <w:right w:w="70" w:type="dxa"/>
            </w:tcMar>
            <w:vAlign w:val="bottom"/>
          </w:tcPr>
          <w:p w14:paraId="4AB00DB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journal data sharing policy</w:t>
            </w:r>
          </w:p>
        </w:tc>
        <w:tc>
          <w:tcPr>
            <w:tcW w:w="1082" w:type="dxa"/>
            <w:tcMar>
              <w:left w:w="70" w:type="dxa"/>
              <w:right w:w="70" w:type="dxa"/>
            </w:tcMar>
            <w:vAlign w:val="bottom"/>
          </w:tcPr>
          <w:p w14:paraId="5F0BC59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Federer (2018), Gorman (2020), Magee (2014), Milia (2012), Naudet (2018, 2 studies), Nguyen (2022), Nuijten (2017; 2 studies), Piwowar (2011), Rowhani-Farid (2016), Savage (2009), Thelwall (2017)</w:t>
            </w:r>
          </w:p>
        </w:tc>
      </w:tr>
      <w:tr w:rsidR="00E63726" w:rsidRPr="005A0FC6" w14:paraId="0A5562CA" w14:textId="77777777" w:rsidTr="00555A56">
        <w:trPr>
          <w:trHeight w:val="195"/>
        </w:trPr>
        <w:tc>
          <w:tcPr>
            <w:tcW w:w="1271" w:type="dxa"/>
            <w:vMerge/>
            <w:vAlign w:val="center"/>
          </w:tcPr>
          <w:p w14:paraId="77EF08F3" w14:textId="77777777" w:rsidR="00E63726" w:rsidRPr="005A0FC6" w:rsidRDefault="00E63726" w:rsidP="00555A56">
            <w:pPr>
              <w:rPr>
                <w:rFonts w:ascii="Times New Roman" w:hAnsi="Times New Roman" w:cs="Times New Roman"/>
                <w:sz w:val="18"/>
                <w:szCs w:val="18"/>
                <w:lang w:val="en-US"/>
              </w:rPr>
            </w:pPr>
          </w:p>
        </w:tc>
        <w:tc>
          <w:tcPr>
            <w:tcW w:w="2835" w:type="dxa"/>
            <w:vMerge/>
            <w:vAlign w:val="center"/>
          </w:tcPr>
          <w:p w14:paraId="283740B9" w14:textId="77777777" w:rsidR="00E63726" w:rsidRPr="005A0FC6" w:rsidRDefault="00E63726" w:rsidP="00555A56">
            <w:pPr>
              <w:rPr>
                <w:rFonts w:ascii="Times New Roman" w:hAnsi="Times New Roman" w:cs="Times New Roman"/>
                <w:sz w:val="18"/>
                <w:szCs w:val="18"/>
                <w:lang w:val="en-US"/>
              </w:rPr>
            </w:pPr>
          </w:p>
        </w:tc>
        <w:tc>
          <w:tcPr>
            <w:tcW w:w="524" w:type="dxa"/>
            <w:vMerge/>
            <w:vAlign w:val="center"/>
          </w:tcPr>
          <w:p w14:paraId="6ABAC927" w14:textId="77777777" w:rsidR="00E63726" w:rsidRPr="005A0FC6" w:rsidRDefault="00E63726" w:rsidP="00555A56">
            <w:pPr>
              <w:rPr>
                <w:rFonts w:ascii="Times New Roman" w:hAnsi="Times New Roman" w:cs="Times New Roman"/>
                <w:sz w:val="18"/>
                <w:szCs w:val="18"/>
                <w:lang w:val="en-US"/>
              </w:rPr>
            </w:pPr>
          </w:p>
        </w:tc>
        <w:tc>
          <w:tcPr>
            <w:tcW w:w="1405" w:type="dxa"/>
            <w:tcMar>
              <w:left w:w="70" w:type="dxa"/>
              <w:right w:w="70" w:type="dxa"/>
            </w:tcMar>
            <w:vAlign w:val="bottom"/>
          </w:tcPr>
          <w:p w14:paraId="1AC3D61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data/code sharing</w:t>
            </w:r>
          </w:p>
        </w:tc>
        <w:tc>
          <w:tcPr>
            <w:tcW w:w="1951" w:type="dxa"/>
            <w:tcMar>
              <w:left w:w="70" w:type="dxa"/>
              <w:right w:w="70" w:type="dxa"/>
            </w:tcMar>
            <w:vAlign w:val="bottom"/>
          </w:tcPr>
          <w:p w14:paraId="65F983B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journal characteristics</w:t>
            </w:r>
          </w:p>
        </w:tc>
        <w:tc>
          <w:tcPr>
            <w:tcW w:w="1082" w:type="dxa"/>
            <w:tcMar>
              <w:left w:w="70" w:type="dxa"/>
              <w:right w:w="70" w:type="dxa"/>
            </w:tcMar>
            <w:vAlign w:val="bottom"/>
          </w:tcPr>
          <w:p w14:paraId="303F601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Hamilton (2022)</w:t>
            </w:r>
          </w:p>
        </w:tc>
      </w:tr>
      <w:tr w:rsidR="00E63726" w:rsidRPr="005A0FC6" w14:paraId="43357160" w14:textId="77777777" w:rsidTr="00555A56">
        <w:trPr>
          <w:trHeight w:val="405"/>
        </w:trPr>
        <w:tc>
          <w:tcPr>
            <w:tcW w:w="1271" w:type="dxa"/>
            <w:vMerge/>
            <w:vAlign w:val="center"/>
          </w:tcPr>
          <w:p w14:paraId="08BBA778"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22145008"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004F078B"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72E121A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data/code sharing</w:t>
            </w:r>
          </w:p>
        </w:tc>
        <w:tc>
          <w:tcPr>
            <w:tcW w:w="1951" w:type="dxa"/>
            <w:tcMar>
              <w:left w:w="70" w:type="dxa"/>
              <w:right w:w="70" w:type="dxa"/>
            </w:tcMar>
            <w:vAlign w:val="bottom"/>
          </w:tcPr>
          <w:p w14:paraId="41D512C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journal open data policy</w:t>
            </w:r>
          </w:p>
        </w:tc>
        <w:tc>
          <w:tcPr>
            <w:tcW w:w="1082" w:type="dxa"/>
            <w:tcMar>
              <w:left w:w="70" w:type="dxa"/>
              <w:right w:w="70" w:type="dxa"/>
            </w:tcMar>
            <w:vAlign w:val="bottom"/>
          </w:tcPr>
          <w:p w14:paraId="263E685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Hardwicke (2018), Laurinavich</w:t>
            </w:r>
            <w:r w:rsidRPr="005A0FC6">
              <w:rPr>
                <w:rFonts w:ascii="Times New Roman" w:eastAsia="Times New Roman" w:hAnsi="Times New Roman" w:cs="Times New Roman"/>
                <w:color w:val="000000" w:themeColor="text1"/>
                <w:sz w:val="18"/>
                <w:szCs w:val="18"/>
              </w:rPr>
              <w:lastRenderedPageBreak/>
              <w:t>yute (2022; 2 studies)</w:t>
            </w:r>
          </w:p>
        </w:tc>
      </w:tr>
      <w:tr w:rsidR="00E63726" w:rsidRPr="005A0FC6" w14:paraId="390C9B17" w14:textId="77777777" w:rsidTr="00555A56">
        <w:trPr>
          <w:trHeight w:val="195"/>
        </w:trPr>
        <w:tc>
          <w:tcPr>
            <w:tcW w:w="1271" w:type="dxa"/>
            <w:vMerge/>
            <w:vAlign w:val="center"/>
          </w:tcPr>
          <w:p w14:paraId="744B4A50"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076EC21F"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3F19D7D5"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5D79E58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data/code sharing</w:t>
            </w:r>
          </w:p>
        </w:tc>
        <w:tc>
          <w:tcPr>
            <w:tcW w:w="1951" w:type="dxa"/>
            <w:tcMar>
              <w:left w:w="70" w:type="dxa"/>
              <w:right w:w="70" w:type="dxa"/>
            </w:tcMar>
            <w:vAlign w:val="bottom"/>
          </w:tcPr>
          <w:p w14:paraId="2867ACD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funder data management policy</w:t>
            </w:r>
          </w:p>
        </w:tc>
        <w:tc>
          <w:tcPr>
            <w:tcW w:w="1082" w:type="dxa"/>
            <w:tcMar>
              <w:left w:w="70" w:type="dxa"/>
              <w:right w:w="70" w:type="dxa"/>
            </w:tcMar>
            <w:vAlign w:val="bottom"/>
          </w:tcPr>
          <w:p w14:paraId="2C5E4F1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Narang (2023)</w:t>
            </w:r>
          </w:p>
        </w:tc>
      </w:tr>
      <w:tr w:rsidR="00E63726" w:rsidRPr="005A0FC6" w14:paraId="6BF3193D" w14:textId="77777777" w:rsidTr="00555A56">
        <w:trPr>
          <w:trHeight w:val="195"/>
        </w:trPr>
        <w:tc>
          <w:tcPr>
            <w:tcW w:w="1271" w:type="dxa"/>
            <w:vMerge/>
            <w:vAlign w:val="center"/>
          </w:tcPr>
          <w:p w14:paraId="33A69F9E"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1A463735"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12C0B8AF"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0679CF8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data/code sharing</w:t>
            </w:r>
          </w:p>
        </w:tc>
        <w:tc>
          <w:tcPr>
            <w:tcW w:w="1951" w:type="dxa"/>
            <w:tcMar>
              <w:left w:w="70" w:type="dxa"/>
              <w:right w:w="70" w:type="dxa"/>
            </w:tcMar>
            <w:vAlign w:val="bottom"/>
          </w:tcPr>
          <w:p w14:paraId="0A1BC34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journal and funder policies</w:t>
            </w:r>
          </w:p>
        </w:tc>
        <w:tc>
          <w:tcPr>
            <w:tcW w:w="1082" w:type="dxa"/>
            <w:tcMar>
              <w:left w:w="70" w:type="dxa"/>
              <w:right w:w="70" w:type="dxa"/>
            </w:tcMar>
            <w:vAlign w:val="bottom"/>
          </w:tcPr>
          <w:p w14:paraId="661FC5C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Piwowar (2010)</w:t>
            </w:r>
          </w:p>
        </w:tc>
      </w:tr>
      <w:tr w:rsidR="00E63726" w:rsidRPr="005A0FC6" w14:paraId="1DD363F0" w14:textId="77777777" w:rsidTr="00555A56">
        <w:trPr>
          <w:trHeight w:val="195"/>
        </w:trPr>
        <w:tc>
          <w:tcPr>
            <w:tcW w:w="1271" w:type="dxa"/>
            <w:vMerge/>
            <w:vAlign w:val="center"/>
          </w:tcPr>
          <w:p w14:paraId="681C30F8"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1C8F8505"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48EECC02"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0C15559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data/code sharing</w:t>
            </w:r>
          </w:p>
        </w:tc>
        <w:tc>
          <w:tcPr>
            <w:tcW w:w="1951" w:type="dxa"/>
            <w:tcMar>
              <w:left w:w="70" w:type="dxa"/>
              <w:right w:w="70" w:type="dxa"/>
            </w:tcMar>
            <w:vAlign w:val="bottom"/>
          </w:tcPr>
          <w:p w14:paraId="2981A580"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funder data sharing policy</w:t>
            </w:r>
          </w:p>
        </w:tc>
        <w:tc>
          <w:tcPr>
            <w:tcW w:w="1082" w:type="dxa"/>
            <w:tcMar>
              <w:left w:w="70" w:type="dxa"/>
              <w:right w:w="70" w:type="dxa"/>
            </w:tcMar>
            <w:vAlign w:val="bottom"/>
          </w:tcPr>
          <w:p w14:paraId="6DB6EDF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Piwowar (2011)</w:t>
            </w:r>
          </w:p>
        </w:tc>
      </w:tr>
      <w:tr w:rsidR="00E63726" w:rsidRPr="005A0FC6" w14:paraId="07BF0B2F" w14:textId="77777777" w:rsidTr="00555A56">
        <w:trPr>
          <w:trHeight w:val="195"/>
        </w:trPr>
        <w:tc>
          <w:tcPr>
            <w:tcW w:w="1271" w:type="dxa"/>
            <w:vMerge/>
            <w:vAlign w:val="center"/>
          </w:tcPr>
          <w:p w14:paraId="51ADADF3"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0EF73339"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3C74D36B"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68DF952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data/code sharing</w:t>
            </w:r>
          </w:p>
        </w:tc>
        <w:tc>
          <w:tcPr>
            <w:tcW w:w="1951" w:type="dxa"/>
            <w:tcMar>
              <w:left w:w="70" w:type="dxa"/>
              <w:right w:w="70" w:type="dxa"/>
            </w:tcMar>
            <w:vAlign w:val="bottom"/>
          </w:tcPr>
          <w:p w14:paraId="646AA900"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journal policy strictness</w:t>
            </w:r>
          </w:p>
        </w:tc>
        <w:tc>
          <w:tcPr>
            <w:tcW w:w="1082" w:type="dxa"/>
            <w:tcMar>
              <w:left w:w="70" w:type="dxa"/>
              <w:right w:w="70" w:type="dxa"/>
            </w:tcMar>
            <w:vAlign w:val="bottom"/>
          </w:tcPr>
          <w:p w14:paraId="6AE2540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Trisovic (2022)</w:t>
            </w:r>
          </w:p>
        </w:tc>
      </w:tr>
      <w:tr w:rsidR="00E63726" w:rsidRPr="005A0FC6" w14:paraId="56DF7A94" w14:textId="77777777" w:rsidTr="00555A56">
        <w:trPr>
          <w:trHeight w:val="195"/>
        </w:trPr>
        <w:tc>
          <w:tcPr>
            <w:tcW w:w="1271" w:type="dxa"/>
            <w:vMerge/>
            <w:vAlign w:val="center"/>
          </w:tcPr>
          <w:p w14:paraId="471CADD1"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3244F70E"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1AC69C8B"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50704CC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methodological guidelines</w:t>
            </w:r>
          </w:p>
        </w:tc>
        <w:tc>
          <w:tcPr>
            <w:tcW w:w="1951" w:type="dxa"/>
            <w:tcMar>
              <w:left w:w="70" w:type="dxa"/>
              <w:right w:w="70" w:type="dxa"/>
            </w:tcMar>
            <w:vAlign w:val="bottom"/>
          </w:tcPr>
          <w:p w14:paraId="7F3E1E5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journal submission guidelines</w:t>
            </w:r>
          </w:p>
        </w:tc>
        <w:tc>
          <w:tcPr>
            <w:tcW w:w="1082" w:type="dxa"/>
            <w:tcMar>
              <w:left w:w="70" w:type="dxa"/>
              <w:right w:w="70" w:type="dxa"/>
            </w:tcMar>
            <w:vAlign w:val="bottom"/>
          </w:tcPr>
          <w:p w14:paraId="0D1E1A3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Giofre (2017), Giofre (2022)</w:t>
            </w:r>
          </w:p>
        </w:tc>
      </w:tr>
      <w:tr w:rsidR="00E63726" w:rsidRPr="005A0FC6" w14:paraId="663FCBBD" w14:textId="77777777" w:rsidTr="00555A56">
        <w:trPr>
          <w:trHeight w:val="195"/>
        </w:trPr>
        <w:tc>
          <w:tcPr>
            <w:tcW w:w="1271" w:type="dxa"/>
            <w:vMerge/>
            <w:vAlign w:val="center"/>
          </w:tcPr>
          <w:p w14:paraId="566E631F"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63DD708E"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4133DEB0"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7DF2DD60"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preregistration</w:t>
            </w:r>
          </w:p>
        </w:tc>
        <w:tc>
          <w:tcPr>
            <w:tcW w:w="1951" w:type="dxa"/>
            <w:tcMar>
              <w:left w:w="70" w:type="dxa"/>
              <w:right w:w="70" w:type="dxa"/>
            </w:tcMar>
            <w:vAlign w:val="bottom"/>
          </w:tcPr>
          <w:p w14:paraId="6923AB1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journal accepts regardless outcome</w:t>
            </w:r>
          </w:p>
        </w:tc>
        <w:tc>
          <w:tcPr>
            <w:tcW w:w="1082" w:type="dxa"/>
            <w:tcMar>
              <w:left w:w="70" w:type="dxa"/>
              <w:right w:w="70" w:type="dxa"/>
            </w:tcMar>
            <w:vAlign w:val="bottom"/>
          </w:tcPr>
          <w:p w14:paraId="1867EEC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Blanco-Perez (2020)</w:t>
            </w:r>
          </w:p>
        </w:tc>
      </w:tr>
      <w:tr w:rsidR="00E63726" w:rsidRPr="005A0FC6" w14:paraId="7C6DF40E" w14:textId="77777777" w:rsidTr="00555A56">
        <w:trPr>
          <w:trHeight w:val="405"/>
        </w:trPr>
        <w:tc>
          <w:tcPr>
            <w:tcW w:w="1271" w:type="dxa"/>
            <w:vMerge/>
            <w:vAlign w:val="center"/>
          </w:tcPr>
          <w:p w14:paraId="3877F923"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6D9D87A2"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4F693C79"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1341DA1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preregistration</w:t>
            </w:r>
          </w:p>
        </w:tc>
        <w:tc>
          <w:tcPr>
            <w:tcW w:w="1951" w:type="dxa"/>
            <w:tcMar>
              <w:left w:w="70" w:type="dxa"/>
              <w:right w:w="70" w:type="dxa"/>
            </w:tcMar>
            <w:vAlign w:val="bottom"/>
          </w:tcPr>
          <w:p w14:paraId="60580F3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journal policy on trial registration</w:t>
            </w:r>
          </w:p>
        </w:tc>
        <w:tc>
          <w:tcPr>
            <w:tcW w:w="1082" w:type="dxa"/>
            <w:tcMar>
              <w:left w:w="70" w:type="dxa"/>
              <w:right w:w="70" w:type="dxa"/>
            </w:tcMar>
            <w:vAlign w:val="bottom"/>
          </w:tcPr>
          <w:p w14:paraId="2D4CF55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Hardt (2013), McGee (2011), Sims (2018)</w:t>
            </w:r>
          </w:p>
        </w:tc>
      </w:tr>
      <w:tr w:rsidR="00E63726" w:rsidRPr="005A0FC6" w14:paraId="4DBBF9FD" w14:textId="77777777" w:rsidTr="00555A56">
        <w:trPr>
          <w:trHeight w:val="195"/>
        </w:trPr>
        <w:tc>
          <w:tcPr>
            <w:tcW w:w="1271" w:type="dxa"/>
            <w:vMerge/>
            <w:vAlign w:val="center"/>
          </w:tcPr>
          <w:p w14:paraId="2138C648"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1A1B821D"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2C5B50BA"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4634C04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preregistration</w:t>
            </w:r>
          </w:p>
        </w:tc>
        <w:tc>
          <w:tcPr>
            <w:tcW w:w="1951" w:type="dxa"/>
            <w:tcMar>
              <w:left w:w="70" w:type="dxa"/>
              <w:right w:w="70" w:type="dxa"/>
            </w:tcMar>
            <w:vAlign w:val="bottom"/>
          </w:tcPr>
          <w:p w14:paraId="70C0E29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ICMJE proposed trial registration</w:t>
            </w:r>
          </w:p>
        </w:tc>
        <w:tc>
          <w:tcPr>
            <w:tcW w:w="1082" w:type="dxa"/>
            <w:tcMar>
              <w:left w:w="70" w:type="dxa"/>
              <w:right w:w="70" w:type="dxa"/>
            </w:tcMar>
            <w:vAlign w:val="bottom"/>
          </w:tcPr>
          <w:p w14:paraId="32C1BEA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Hardt (2013), Sims (2016)</w:t>
            </w:r>
          </w:p>
        </w:tc>
      </w:tr>
      <w:tr w:rsidR="00E63726" w:rsidRPr="005A0FC6" w14:paraId="0567D415" w14:textId="77777777" w:rsidTr="00555A56">
        <w:trPr>
          <w:trHeight w:val="195"/>
        </w:trPr>
        <w:tc>
          <w:tcPr>
            <w:tcW w:w="1271" w:type="dxa"/>
            <w:vMerge/>
            <w:vAlign w:val="center"/>
          </w:tcPr>
          <w:p w14:paraId="3F723946"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1C0C0E85"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1595C0DD"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2D1488C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preregistration</w:t>
            </w:r>
          </w:p>
        </w:tc>
        <w:tc>
          <w:tcPr>
            <w:tcW w:w="1951" w:type="dxa"/>
            <w:tcMar>
              <w:left w:w="70" w:type="dxa"/>
              <w:right w:w="70" w:type="dxa"/>
            </w:tcMar>
            <w:vAlign w:val="bottom"/>
          </w:tcPr>
          <w:p w14:paraId="07CFC70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journal submission guidelines</w:t>
            </w:r>
          </w:p>
        </w:tc>
        <w:tc>
          <w:tcPr>
            <w:tcW w:w="1082" w:type="dxa"/>
            <w:tcMar>
              <w:left w:w="70" w:type="dxa"/>
              <w:right w:w="70" w:type="dxa"/>
            </w:tcMar>
            <w:vAlign w:val="bottom"/>
          </w:tcPr>
          <w:p w14:paraId="4913531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Ladd (2023)</w:t>
            </w:r>
          </w:p>
        </w:tc>
      </w:tr>
      <w:tr w:rsidR="00E63726" w:rsidRPr="005A0FC6" w14:paraId="7E6722D1" w14:textId="77777777" w:rsidTr="00555A56">
        <w:trPr>
          <w:trHeight w:val="195"/>
        </w:trPr>
        <w:tc>
          <w:tcPr>
            <w:tcW w:w="1271" w:type="dxa"/>
            <w:vMerge/>
            <w:vAlign w:val="center"/>
          </w:tcPr>
          <w:p w14:paraId="7B3FCF9D"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5A0CBDC2"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35D8A1E8"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52C8005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preregistration</w:t>
            </w:r>
          </w:p>
        </w:tc>
        <w:tc>
          <w:tcPr>
            <w:tcW w:w="1951" w:type="dxa"/>
            <w:tcMar>
              <w:left w:w="70" w:type="dxa"/>
              <w:right w:w="70" w:type="dxa"/>
            </w:tcMar>
            <w:vAlign w:val="bottom"/>
          </w:tcPr>
          <w:p w14:paraId="5DC3141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FDA trial registration policy</w:t>
            </w:r>
          </w:p>
        </w:tc>
        <w:tc>
          <w:tcPr>
            <w:tcW w:w="1082" w:type="dxa"/>
            <w:tcMar>
              <w:left w:w="70" w:type="dxa"/>
              <w:right w:w="70" w:type="dxa"/>
            </w:tcMar>
            <w:vAlign w:val="bottom"/>
          </w:tcPr>
          <w:p w14:paraId="1FE71040"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Marin (2015)</w:t>
            </w:r>
          </w:p>
        </w:tc>
      </w:tr>
      <w:tr w:rsidR="00E63726" w:rsidRPr="005A0FC6" w14:paraId="5A54A810" w14:textId="77777777" w:rsidTr="00555A56">
        <w:trPr>
          <w:trHeight w:val="405"/>
        </w:trPr>
        <w:tc>
          <w:tcPr>
            <w:tcW w:w="1271" w:type="dxa"/>
            <w:vMerge/>
            <w:vAlign w:val="center"/>
          </w:tcPr>
          <w:p w14:paraId="55AF9546"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4BFE8741"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7E97A6DF"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1AE9A62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reporting guidelines</w:t>
            </w:r>
          </w:p>
        </w:tc>
        <w:tc>
          <w:tcPr>
            <w:tcW w:w="1951" w:type="dxa"/>
            <w:tcMar>
              <w:left w:w="70" w:type="dxa"/>
              <w:right w:w="70" w:type="dxa"/>
            </w:tcMar>
            <w:vAlign w:val="bottom"/>
          </w:tcPr>
          <w:p w14:paraId="1099259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journal endorses reporting checklist</w:t>
            </w:r>
          </w:p>
        </w:tc>
        <w:tc>
          <w:tcPr>
            <w:tcW w:w="1082" w:type="dxa"/>
            <w:tcMar>
              <w:left w:w="70" w:type="dxa"/>
              <w:right w:w="70" w:type="dxa"/>
            </w:tcMar>
            <w:vAlign w:val="bottom"/>
          </w:tcPr>
          <w:p w14:paraId="5E4363B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Agha (2016), Caron (2017), Hopewell (2012), Walsh (2020)</w:t>
            </w:r>
          </w:p>
        </w:tc>
      </w:tr>
      <w:tr w:rsidR="00E63726" w:rsidRPr="005A0FC6" w14:paraId="53CE1BE2" w14:textId="77777777" w:rsidTr="00555A56">
        <w:trPr>
          <w:trHeight w:val="195"/>
        </w:trPr>
        <w:tc>
          <w:tcPr>
            <w:tcW w:w="1271" w:type="dxa"/>
            <w:vMerge/>
            <w:vAlign w:val="center"/>
          </w:tcPr>
          <w:p w14:paraId="7CC04613"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774D460D"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6A856A5D"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1B4E658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reporting guidelines</w:t>
            </w:r>
          </w:p>
        </w:tc>
        <w:tc>
          <w:tcPr>
            <w:tcW w:w="1951" w:type="dxa"/>
            <w:tcMar>
              <w:left w:w="70" w:type="dxa"/>
              <w:right w:w="70" w:type="dxa"/>
            </w:tcMar>
            <w:vAlign w:val="bottom"/>
          </w:tcPr>
          <w:p w14:paraId="299A9E0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ICMJE endorses reporting guideline</w:t>
            </w:r>
          </w:p>
        </w:tc>
        <w:tc>
          <w:tcPr>
            <w:tcW w:w="1082" w:type="dxa"/>
            <w:tcMar>
              <w:left w:w="70" w:type="dxa"/>
              <w:right w:w="70" w:type="dxa"/>
            </w:tcMar>
            <w:vAlign w:val="bottom"/>
          </w:tcPr>
          <w:p w14:paraId="2BAE2BA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Audet (2017)</w:t>
            </w:r>
          </w:p>
        </w:tc>
      </w:tr>
      <w:tr w:rsidR="00E63726" w:rsidRPr="005A0FC6" w14:paraId="23EF7B97" w14:textId="77777777" w:rsidTr="00555A56">
        <w:trPr>
          <w:trHeight w:val="195"/>
        </w:trPr>
        <w:tc>
          <w:tcPr>
            <w:tcW w:w="1271" w:type="dxa"/>
            <w:vMerge/>
            <w:vAlign w:val="center"/>
          </w:tcPr>
          <w:p w14:paraId="251081FF"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0557E5C3"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18162051"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23E278E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reporting guidelines</w:t>
            </w:r>
          </w:p>
        </w:tc>
        <w:tc>
          <w:tcPr>
            <w:tcW w:w="1951" w:type="dxa"/>
            <w:tcMar>
              <w:left w:w="70" w:type="dxa"/>
              <w:right w:w="70" w:type="dxa"/>
            </w:tcMar>
            <w:vAlign w:val="bottom"/>
          </w:tcPr>
          <w:p w14:paraId="4245EA1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journal requires reporting checklist</w:t>
            </w:r>
          </w:p>
        </w:tc>
        <w:tc>
          <w:tcPr>
            <w:tcW w:w="1082" w:type="dxa"/>
            <w:tcMar>
              <w:left w:w="70" w:type="dxa"/>
              <w:right w:w="70" w:type="dxa"/>
            </w:tcMar>
            <w:vAlign w:val="bottom"/>
          </w:tcPr>
          <w:p w14:paraId="0F329E4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Goldacre (2019), Witwer (2013)</w:t>
            </w:r>
          </w:p>
        </w:tc>
      </w:tr>
      <w:tr w:rsidR="00E63726" w:rsidRPr="005A0FC6" w14:paraId="0B8A3952" w14:textId="77777777" w:rsidTr="00555A56">
        <w:trPr>
          <w:trHeight w:val="195"/>
        </w:trPr>
        <w:tc>
          <w:tcPr>
            <w:tcW w:w="1271" w:type="dxa"/>
            <w:vMerge/>
            <w:vAlign w:val="center"/>
          </w:tcPr>
          <w:p w14:paraId="35650940"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0020BB57"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02BF98FB"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0B5C744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reporting guidelines</w:t>
            </w:r>
          </w:p>
        </w:tc>
        <w:tc>
          <w:tcPr>
            <w:tcW w:w="1951" w:type="dxa"/>
            <w:tcMar>
              <w:left w:w="70" w:type="dxa"/>
              <w:right w:w="70" w:type="dxa"/>
            </w:tcMar>
            <w:vAlign w:val="bottom"/>
          </w:tcPr>
          <w:p w14:paraId="74E5BE9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journal submission guidelines</w:t>
            </w:r>
          </w:p>
        </w:tc>
        <w:tc>
          <w:tcPr>
            <w:tcW w:w="1082" w:type="dxa"/>
            <w:tcMar>
              <w:left w:w="70" w:type="dxa"/>
              <w:right w:w="70" w:type="dxa"/>
            </w:tcMar>
            <w:vAlign w:val="bottom"/>
          </w:tcPr>
          <w:p w14:paraId="2CCE9080"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Ladd (2023)</w:t>
            </w:r>
          </w:p>
        </w:tc>
      </w:tr>
      <w:tr w:rsidR="00E63726" w:rsidRPr="005A0FC6" w14:paraId="34B29F61" w14:textId="77777777" w:rsidTr="00555A56">
        <w:trPr>
          <w:trHeight w:val="195"/>
        </w:trPr>
        <w:tc>
          <w:tcPr>
            <w:tcW w:w="1271" w:type="dxa"/>
            <w:vMerge/>
            <w:vAlign w:val="center"/>
          </w:tcPr>
          <w:p w14:paraId="50C5C8D1"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4EB5E573"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FAIR Principles</w:t>
            </w:r>
          </w:p>
        </w:tc>
        <w:tc>
          <w:tcPr>
            <w:tcW w:w="524" w:type="dxa"/>
            <w:tcMar>
              <w:left w:w="70" w:type="dxa"/>
              <w:right w:w="70" w:type="dxa"/>
            </w:tcMar>
            <w:vAlign w:val="bottom"/>
          </w:tcPr>
          <w:p w14:paraId="3330395B"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5C1523F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32116E4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61C098C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4EF36908" w14:textId="77777777" w:rsidTr="00555A56">
        <w:trPr>
          <w:trHeight w:val="195"/>
        </w:trPr>
        <w:tc>
          <w:tcPr>
            <w:tcW w:w="1271" w:type="dxa"/>
            <w:vMerge/>
            <w:vAlign w:val="center"/>
          </w:tcPr>
          <w:p w14:paraId="43991AD7"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63A77256"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Data access policies</w:t>
            </w:r>
          </w:p>
        </w:tc>
        <w:tc>
          <w:tcPr>
            <w:tcW w:w="524" w:type="dxa"/>
            <w:tcMar>
              <w:left w:w="70" w:type="dxa"/>
              <w:right w:w="70" w:type="dxa"/>
            </w:tcMar>
            <w:vAlign w:val="bottom"/>
          </w:tcPr>
          <w:p w14:paraId="29DA2AFB"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31AF9B9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38F03FA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73C7B18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0A69ABC8" w14:textId="77777777" w:rsidTr="00555A56">
        <w:trPr>
          <w:trHeight w:val="195"/>
        </w:trPr>
        <w:tc>
          <w:tcPr>
            <w:tcW w:w="1271" w:type="dxa"/>
            <w:vMerge/>
            <w:vAlign w:val="center"/>
          </w:tcPr>
          <w:p w14:paraId="6B1126A7"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0C04D134"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Open science plans, open science university plans</w:t>
            </w:r>
          </w:p>
        </w:tc>
        <w:tc>
          <w:tcPr>
            <w:tcW w:w="524" w:type="dxa"/>
            <w:tcMar>
              <w:left w:w="70" w:type="dxa"/>
              <w:right w:w="70" w:type="dxa"/>
            </w:tcMar>
            <w:vAlign w:val="bottom"/>
          </w:tcPr>
          <w:p w14:paraId="2FDA672C"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68B4CE0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7B5215C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171B391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32791236" w14:textId="77777777" w:rsidTr="00555A56">
        <w:trPr>
          <w:trHeight w:val="195"/>
        </w:trPr>
        <w:tc>
          <w:tcPr>
            <w:tcW w:w="1271" w:type="dxa"/>
            <w:vMerge/>
            <w:vAlign w:val="center"/>
          </w:tcPr>
          <w:p w14:paraId="12EFC045"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12AFDBC7"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Reproducibility checklists</w:t>
            </w:r>
          </w:p>
        </w:tc>
        <w:tc>
          <w:tcPr>
            <w:tcW w:w="524" w:type="dxa"/>
            <w:tcMar>
              <w:left w:w="70" w:type="dxa"/>
              <w:right w:w="70" w:type="dxa"/>
            </w:tcMar>
            <w:vAlign w:val="bottom"/>
          </w:tcPr>
          <w:p w14:paraId="7F8F2A6B"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325B55D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74F9D70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2FBAF5E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09C69F9A" w14:textId="77777777" w:rsidTr="00555A56">
        <w:trPr>
          <w:trHeight w:val="195"/>
        </w:trPr>
        <w:tc>
          <w:tcPr>
            <w:tcW w:w="1271" w:type="dxa"/>
            <w:vMerge/>
            <w:vAlign w:val="center"/>
          </w:tcPr>
          <w:p w14:paraId="69BC7349"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7D9FB745"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Citation standards</w:t>
            </w:r>
          </w:p>
        </w:tc>
        <w:tc>
          <w:tcPr>
            <w:tcW w:w="524" w:type="dxa"/>
            <w:tcMar>
              <w:left w:w="70" w:type="dxa"/>
              <w:right w:w="70" w:type="dxa"/>
            </w:tcMar>
            <w:vAlign w:val="bottom"/>
          </w:tcPr>
          <w:p w14:paraId="7346C6A7"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7D3FE6C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1785791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76828F7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27633CBB" w14:textId="77777777" w:rsidTr="00555A56">
        <w:trPr>
          <w:trHeight w:val="195"/>
        </w:trPr>
        <w:tc>
          <w:tcPr>
            <w:tcW w:w="1271" w:type="dxa"/>
            <w:vMerge/>
            <w:vAlign w:val="center"/>
          </w:tcPr>
          <w:p w14:paraId="23E582A1"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36D1305B"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Other</w:t>
            </w:r>
          </w:p>
        </w:tc>
        <w:tc>
          <w:tcPr>
            <w:tcW w:w="524" w:type="dxa"/>
            <w:tcMar>
              <w:left w:w="70" w:type="dxa"/>
              <w:right w:w="70" w:type="dxa"/>
            </w:tcMar>
            <w:vAlign w:val="bottom"/>
          </w:tcPr>
          <w:p w14:paraId="1238F30B"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2DD0BAA0"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3B94467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42613CB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6DFEAED4" w14:textId="77777777" w:rsidTr="00555A56">
        <w:trPr>
          <w:trHeight w:val="195"/>
        </w:trPr>
        <w:tc>
          <w:tcPr>
            <w:tcW w:w="1271" w:type="dxa"/>
            <w:vMerge w:val="restart"/>
            <w:tcMar>
              <w:left w:w="70" w:type="dxa"/>
              <w:right w:w="70" w:type="dxa"/>
            </w:tcMar>
          </w:tcPr>
          <w:p w14:paraId="251D9C44" w14:textId="77777777" w:rsidR="00E63726" w:rsidRPr="005A0FC6" w:rsidRDefault="00E63726" w:rsidP="00555A56">
            <w:pPr>
              <w:rPr>
                <w:rFonts w:ascii="Times New Roman" w:eastAsia="Times New Roman" w:hAnsi="Times New Roman" w:cs="Times New Roman"/>
                <w:b/>
                <w:bCs/>
                <w:color w:val="424242"/>
                <w:sz w:val="18"/>
                <w:szCs w:val="18"/>
              </w:rPr>
            </w:pPr>
            <w:r w:rsidRPr="005A0FC6">
              <w:rPr>
                <w:rFonts w:ascii="Times New Roman" w:eastAsia="Times New Roman" w:hAnsi="Times New Roman" w:cs="Times New Roman"/>
                <w:b/>
                <w:bCs/>
                <w:color w:val="424242"/>
                <w:sz w:val="18"/>
                <w:szCs w:val="18"/>
              </w:rPr>
              <w:t>Open data and materials</w:t>
            </w:r>
          </w:p>
        </w:tc>
        <w:tc>
          <w:tcPr>
            <w:tcW w:w="2835" w:type="dxa"/>
            <w:tcMar>
              <w:left w:w="70" w:type="dxa"/>
              <w:right w:w="70" w:type="dxa"/>
            </w:tcMar>
            <w:vAlign w:val="center"/>
          </w:tcPr>
          <w:p w14:paraId="7C00975E"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Data sharing</w:t>
            </w:r>
          </w:p>
        </w:tc>
        <w:tc>
          <w:tcPr>
            <w:tcW w:w="524" w:type="dxa"/>
            <w:tcMar>
              <w:left w:w="70" w:type="dxa"/>
              <w:right w:w="70" w:type="dxa"/>
            </w:tcMar>
            <w:vAlign w:val="bottom"/>
          </w:tcPr>
          <w:p w14:paraId="3DBBF9F8"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6F716CA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6D61CFB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5C6A1D9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5E91BB30" w14:textId="77777777" w:rsidTr="00555A56">
        <w:trPr>
          <w:trHeight w:val="195"/>
        </w:trPr>
        <w:tc>
          <w:tcPr>
            <w:tcW w:w="1271" w:type="dxa"/>
            <w:vMerge/>
            <w:vAlign w:val="center"/>
          </w:tcPr>
          <w:p w14:paraId="5E85EDF4"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53069C0E"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Data availability</w:t>
            </w:r>
          </w:p>
        </w:tc>
        <w:tc>
          <w:tcPr>
            <w:tcW w:w="524" w:type="dxa"/>
            <w:tcMar>
              <w:left w:w="70" w:type="dxa"/>
              <w:right w:w="70" w:type="dxa"/>
            </w:tcMar>
            <w:vAlign w:val="bottom"/>
          </w:tcPr>
          <w:p w14:paraId="3F9DACF0"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1</w:t>
            </w:r>
          </w:p>
        </w:tc>
        <w:tc>
          <w:tcPr>
            <w:tcW w:w="1405" w:type="dxa"/>
            <w:tcMar>
              <w:left w:w="70" w:type="dxa"/>
              <w:right w:w="70" w:type="dxa"/>
            </w:tcMar>
            <w:vAlign w:val="bottom"/>
          </w:tcPr>
          <w:p w14:paraId="1F00439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data/code sharing</w:t>
            </w:r>
          </w:p>
        </w:tc>
        <w:tc>
          <w:tcPr>
            <w:tcW w:w="1951" w:type="dxa"/>
            <w:tcMar>
              <w:left w:w="70" w:type="dxa"/>
              <w:right w:w="70" w:type="dxa"/>
            </w:tcMar>
            <w:vAlign w:val="bottom"/>
          </w:tcPr>
          <w:p w14:paraId="682DA78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authors shared data</w:t>
            </w:r>
          </w:p>
        </w:tc>
        <w:tc>
          <w:tcPr>
            <w:tcW w:w="1082" w:type="dxa"/>
            <w:tcMar>
              <w:left w:w="70" w:type="dxa"/>
              <w:right w:w="70" w:type="dxa"/>
            </w:tcMar>
            <w:vAlign w:val="bottom"/>
          </w:tcPr>
          <w:p w14:paraId="3A80142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Bergeat (2022)</w:t>
            </w:r>
          </w:p>
        </w:tc>
      </w:tr>
      <w:tr w:rsidR="00E63726" w:rsidRPr="005A0FC6" w14:paraId="2B4F8CB7" w14:textId="77777777" w:rsidTr="00555A56">
        <w:trPr>
          <w:trHeight w:val="195"/>
        </w:trPr>
        <w:tc>
          <w:tcPr>
            <w:tcW w:w="1271" w:type="dxa"/>
            <w:vMerge/>
            <w:vAlign w:val="center"/>
          </w:tcPr>
          <w:p w14:paraId="17C701EC"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48A17A46"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Data transparency</w:t>
            </w:r>
          </w:p>
        </w:tc>
        <w:tc>
          <w:tcPr>
            <w:tcW w:w="524" w:type="dxa"/>
            <w:tcMar>
              <w:left w:w="70" w:type="dxa"/>
              <w:right w:w="70" w:type="dxa"/>
            </w:tcMar>
            <w:vAlign w:val="bottom"/>
          </w:tcPr>
          <w:p w14:paraId="75DCAA77"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2D848BA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50EF037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7C6434E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3B8A3B28" w14:textId="77777777" w:rsidTr="00555A56">
        <w:trPr>
          <w:trHeight w:val="195"/>
        </w:trPr>
        <w:tc>
          <w:tcPr>
            <w:tcW w:w="1271" w:type="dxa"/>
            <w:vMerge/>
            <w:vAlign w:val="center"/>
          </w:tcPr>
          <w:p w14:paraId="25D624DE"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23513111"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Data publishing, data paper, data journals</w:t>
            </w:r>
          </w:p>
        </w:tc>
        <w:tc>
          <w:tcPr>
            <w:tcW w:w="524" w:type="dxa"/>
            <w:tcMar>
              <w:left w:w="70" w:type="dxa"/>
              <w:right w:w="70" w:type="dxa"/>
            </w:tcMar>
            <w:vAlign w:val="bottom"/>
          </w:tcPr>
          <w:p w14:paraId="7CD41989"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6FE49E1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3091EC5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6924958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2156BDCF" w14:textId="77777777" w:rsidTr="00555A56">
        <w:trPr>
          <w:trHeight w:val="195"/>
        </w:trPr>
        <w:tc>
          <w:tcPr>
            <w:tcW w:w="1271" w:type="dxa"/>
            <w:vMerge/>
            <w:vAlign w:val="center"/>
          </w:tcPr>
          <w:p w14:paraId="410C4DD0"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10120E11"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Open access</w:t>
            </w:r>
          </w:p>
        </w:tc>
        <w:tc>
          <w:tcPr>
            <w:tcW w:w="524" w:type="dxa"/>
            <w:tcMar>
              <w:left w:w="70" w:type="dxa"/>
              <w:right w:w="70" w:type="dxa"/>
            </w:tcMar>
            <w:vAlign w:val="bottom"/>
          </w:tcPr>
          <w:p w14:paraId="1FB24C10"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161CC9E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697A25F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0E1045E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549780E0" w14:textId="77777777" w:rsidTr="00555A56">
        <w:trPr>
          <w:trHeight w:val="195"/>
        </w:trPr>
        <w:tc>
          <w:tcPr>
            <w:tcW w:w="1271" w:type="dxa"/>
            <w:vMerge/>
            <w:vAlign w:val="center"/>
          </w:tcPr>
          <w:p w14:paraId="17BC7097"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333801C9"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Early access</w:t>
            </w:r>
          </w:p>
        </w:tc>
        <w:tc>
          <w:tcPr>
            <w:tcW w:w="524" w:type="dxa"/>
            <w:tcMar>
              <w:left w:w="70" w:type="dxa"/>
              <w:right w:w="70" w:type="dxa"/>
            </w:tcMar>
            <w:vAlign w:val="bottom"/>
          </w:tcPr>
          <w:p w14:paraId="06A946F4"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2713A45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3794125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4691708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1CB1DA03" w14:textId="77777777" w:rsidTr="00555A56">
        <w:trPr>
          <w:trHeight w:val="195"/>
        </w:trPr>
        <w:tc>
          <w:tcPr>
            <w:tcW w:w="1271" w:type="dxa"/>
            <w:vMerge/>
            <w:vAlign w:val="center"/>
          </w:tcPr>
          <w:p w14:paraId="5337FF4B"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2649CBFF"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Code sharing</w:t>
            </w:r>
          </w:p>
        </w:tc>
        <w:tc>
          <w:tcPr>
            <w:tcW w:w="524" w:type="dxa"/>
            <w:tcMar>
              <w:left w:w="70" w:type="dxa"/>
              <w:right w:w="70" w:type="dxa"/>
            </w:tcMar>
            <w:vAlign w:val="bottom"/>
          </w:tcPr>
          <w:p w14:paraId="7823B0C1"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0C40C20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2B5FEE7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1A4D25D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72B05945" w14:textId="77777777" w:rsidTr="00555A56">
        <w:trPr>
          <w:trHeight w:val="195"/>
        </w:trPr>
        <w:tc>
          <w:tcPr>
            <w:tcW w:w="1271" w:type="dxa"/>
            <w:vMerge/>
            <w:vAlign w:val="center"/>
          </w:tcPr>
          <w:p w14:paraId="6E05794F"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630BABD5"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Open data</w:t>
            </w:r>
          </w:p>
        </w:tc>
        <w:tc>
          <w:tcPr>
            <w:tcW w:w="524" w:type="dxa"/>
            <w:tcMar>
              <w:left w:w="70" w:type="dxa"/>
              <w:right w:w="70" w:type="dxa"/>
            </w:tcMar>
            <w:vAlign w:val="bottom"/>
          </w:tcPr>
          <w:p w14:paraId="51CBE604"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164406E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4ACA023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42C3F58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00C2743F" w14:textId="77777777" w:rsidTr="00555A56">
        <w:trPr>
          <w:trHeight w:val="195"/>
        </w:trPr>
        <w:tc>
          <w:tcPr>
            <w:tcW w:w="1271" w:type="dxa"/>
            <w:vMerge/>
            <w:vAlign w:val="center"/>
          </w:tcPr>
          <w:p w14:paraId="725DA29A"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0D33D593"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Open material/s</w:t>
            </w:r>
          </w:p>
        </w:tc>
        <w:tc>
          <w:tcPr>
            <w:tcW w:w="524" w:type="dxa"/>
            <w:tcMar>
              <w:left w:w="70" w:type="dxa"/>
              <w:right w:w="70" w:type="dxa"/>
            </w:tcMar>
            <w:vAlign w:val="bottom"/>
          </w:tcPr>
          <w:p w14:paraId="189523F9"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2C91CA7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701039B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398364E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7BB3D3DE" w14:textId="77777777" w:rsidTr="00555A56">
        <w:trPr>
          <w:trHeight w:val="195"/>
        </w:trPr>
        <w:tc>
          <w:tcPr>
            <w:tcW w:w="1271" w:type="dxa"/>
            <w:vMerge/>
            <w:vAlign w:val="center"/>
          </w:tcPr>
          <w:p w14:paraId="3EF23A34"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6DAFA1E6"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Open source software, open source, open software and code</w:t>
            </w:r>
          </w:p>
        </w:tc>
        <w:tc>
          <w:tcPr>
            <w:tcW w:w="524" w:type="dxa"/>
            <w:tcMar>
              <w:left w:w="70" w:type="dxa"/>
              <w:right w:w="70" w:type="dxa"/>
            </w:tcMar>
            <w:vAlign w:val="bottom"/>
          </w:tcPr>
          <w:p w14:paraId="05E2E507"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6C78E36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74B7F60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506632B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5258D081" w14:textId="77777777" w:rsidTr="00555A56">
        <w:trPr>
          <w:trHeight w:val="195"/>
        </w:trPr>
        <w:tc>
          <w:tcPr>
            <w:tcW w:w="1271" w:type="dxa"/>
            <w:vMerge/>
            <w:vAlign w:val="center"/>
          </w:tcPr>
          <w:p w14:paraId="3CD3D97E"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264B9BB4"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Open hardware</w:t>
            </w:r>
          </w:p>
        </w:tc>
        <w:tc>
          <w:tcPr>
            <w:tcW w:w="524" w:type="dxa"/>
            <w:tcMar>
              <w:left w:w="70" w:type="dxa"/>
              <w:right w:w="70" w:type="dxa"/>
            </w:tcMar>
            <w:vAlign w:val="bottom"/>
          </w:tcPr>
          <w:p w14:paraId="3DA11591"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67C538F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142714A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3A510C7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4BEC8842" w14:textId="77777777" w:rsidTr="00555A56">
        <w:trPr>
          <w:trHeight w:val="195"/>
        </w:trPr>
        <w:tc>
          <w:tcPr>
            <w:tcW w:w="1271" w:type="dxa"/>
            <w:vMerge/>
            <w:vAlign w:val="center"/>
          </w:tcPr>
          <w:p w14:paraId="3443CE70"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285375E8"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Open experiment scripts</w:t>
            </w:r>
          </w:p>
        </w:tc>
        <w:tc>
          <w:tcPr>
            <w:tcW w:w="524" w:type="dxa"/>
            <w:tcMar>
              <w:left w:w="70" w:type="dxa"/>
              <w:right w:w="70" w:type="dxa"/>
            </w:tcMar>
            <w:vAlign w:val="bottom"/>
          </w:tcPr>
          <w:p w14:paraId="24DF093E"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1B725FB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0DCE172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365A9400"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01EBEF31" w14:textId="77777777" w:rsidTr="00555A56">
        <w:trPr>
          <w:trHeight w:val="195"/>
        </w:trPr>
        <w:tc>
          <w:tcPr>
            <w:tcW w:w="1271" w:type="dxa"/>
            <w:vMerge/>
            <w:vAlign w:val="center"/>
          </w:tcPr>
          <w:p w14:paraId="4C343806"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0A56152D"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Pre-prints</w:t>
            </w:r>
          </w:p>
        </w:tc>
        <w:tc>
          <w:tcPr>
            <w:tcW w:w="524" w:type="dxa"/>
            <w:tcMar>
              <w:left w:w="70" w:type="dxa"/>
              <w:right w:w="70" w:type="dxa"/>
            </w:tcMar>
            <w:vAlign w:val="bottom"/>
          </w:tcPr>
          <w:p w14:paraId="23770E68"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297061F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576AB3F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3387F5C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3970CD69" w14:textId="77777777" w:rsidTr="00555A56">
        <w:trPr>
          <w:trHeight w:val="195"/>
        </w:trPr>
        <w:tc>
          <w:tcPr>
            <w:tcW w:w="1271" w:type="dxa"/>
            <w:vMerge/>
            <w:vAlign w:val="center"/>
          </w:tcPr>
          <w:p w14:paraId="5343EADD"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6F9605BD"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Presenting metadata clearly</w:t>
            </w:r>
          </w:p>
        </w:tc>
        <w:tc>
          <w:tcPr>
            <w:tcW w:w="524" w:type="dxa"/>
            <w:tcMar>
              <w:left w:w="70" w:type="dxa"/>
              <w:right w:w="70" w:type="dxa"/>
            </w:tcMar>
            <w:vAlign w:val="bottom"/>
          </w:tcPr>
          <w:p w14:paraId="69671241"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3234255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1589AA1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5D4EF74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2F1433BC" w14:textId="77777777" w:rsidTr="00555A56">
        <w:trPr>
          <w:trHeight w:val="195"/>
        </w:trPr>
        <w:tc>
          <w:tcPr>
            <w:tcW w:w="1271" w:type="dxa"/>
            <w:vMerge/>
            <w:vAlign w:val="center"/>
          </w:tcPr>
          <w:p w14:paraId="37850997"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05CDB489"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Affirmative sharing declarations</w:t>
            </w:r>
          </w:p>
        </w:tc>
        <w:tc>
          <w:tcPr>
            <w:tcW w:w="524" w:type="dxa"/>
            <w:tcMar>
              <w:left w:w="70" w:type="dxa"/>
              <w:right w:w="70" w:type="dxa"/>
            </w:tcMar>
            <w:vAlign w:val="bottom"/>
          </w:tcPr>
          <w:p w14:paraId="3F93949B"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1</w:t>
            </w:r>
          </w:p>
        </w:tc>
        <w:tc>
          <w:tcPr>
            <w:tcW w:w="1405" w:type="dxa"/>
            <w:tcMar>
              <w:left w:w="70" w:type="dxa"/>
              <w:right w:w="70" w:type="dxa"/>
            </w:tcMar>
            <w:vAlign w:val="bottom"/>
          </w:tcPr>
          <w:p w14:paraId="1BB8D7E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data/code sharing</w:t>
            </w:r>
          </w:p>
        </w:tc>
        <w:tc>
          <w:tcPr>
            <w:tcW w:w="1951" w:type="dxa"/>
            <w:tcMar>
              <w:left w:w="70" w:type="dxa"/>
              <w:right w:w="70" w:type="dxa"/>
            </w:tcMar>
            <w:vAlign w:val="bottom"/>
          </w:tcPr>
          <w:p w14:paraId="1D405BD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 sharing statements</w:t>
            </w:r>
          </w:p>
        </w:tc>
        <w:tc>
          <w:tcPr>
            <w:tcW w:w="1082" w:type="dxa"/>
            <w:tcMar>
              <w:left w:w="70" w:type="dxa"/>
              <w:right w:w="70" w:type="dxa"/>
            </w:tcMar>
            <w:vAlign w:val="bottom"/>
          </w:tcPr>
          <w:p w14:paraId="4911130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Krawczyk (2012)</w:t>
            </w:r>
          </w:p>
        </w:tc>
      </w:tr>
      <w:tr w:rsidR="00E63726" w:rsidRPr="005A0FC6" w14:paraId="4234598D" w14:textId="77777777" w:rsidTr="00555A56">
        <w:trPr>
          <w:trHeight w:val="195"/>
        </w:trPr>
        <w:tc>
          <w:tcPr>
            <w:tcW w:w="1271" w:type="dxa"/>
            <w:vMerge/>
            <w:vAlign w:val="center"/>
          </w:tcPr>
          <w:p w14:paraId="3511899E"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7CD92F76"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Data management</w:t>
            </w:r>
          </w:p>
        </w:tc>
        <w:tc>
          <w:tcPr>
            <w:tcW w:w="524" w:type="dxa"/>
            <w:tcMar>
              <w:left w:w="70" w:type="dxa"/>
              <w:right w:w="70" w:type="dxa"/>
            </w:tcMar>
            <w:vAlign w:val="bottom"/>
          </w:tcPr>
          <w:p w14:paraId="32FEC37F"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729E9BE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49CFD2A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44D1DDB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5AA95C96" w14:textId="77777777" w:rsidTr="00555A56">
        <w:trPr>
          <w:trHeight w:val="195"/>
        </w:trPr>
        <w:tc>
          <w:tcPr>
            <w:tcW w:w="1271" w:type="dxa"/>
            <w:vMerge/>
            <w:vAlign w:val="center"/>
          </w:tcPr>
          <w:p w14:paraId="6D5C5168"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09AC0529"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Dynamic documents</w:t>
            </w:r>
          </w:p>
        </w:tc>
        <w:tc>
          <w:tcPr>
            <w:tcW w:w="524" w:type="dxa"/>
            <w:tcMar>
              <w:left w:w="70" w:type="dxa"/>
              <w:right w:w="70" w:type="dxa"/>
            </w:tcMar>
            <w:vAlign w:val="bottom"/>
          </w:tcPr>
          <w:p w14:paraId="274EAB78"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1014EF9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0E37406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78AE882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5B341045" w14:textId="77777777" w:rsidTr="00555A56">
        <w:trPr>
          <w:trHeight w:val="195"/>
        </w:trPr>
        <w:tc>
          <w:tcPr>
            <w:tcW w:w="1271" w:type="dxa"/>
            <w:vMerge/>
            <w:vAlign w:val="center"/>
          </w:tcPr>
          <w:p w14:paraId="2E51D769"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14C1A6B9"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Other</w:t>
            </w:r>
          </w:p>
        </w:tc>
        <w:tc>
          <w:tcPr>
            <w:tcW w:w="524" w:type="dxa"/>
            <w:tcMar>
              <w:left w:w="70" w:type="dxa"/>
              <w:right w:w="70" w:type="dxa"/>
            </w:tcMar>
            <w:vAlign w:val="bottom"/>
          </w:tcPr>
          <w:p w14:paraId="6425B6EF"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15E7E3B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7C17A4B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3217EEE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6B46AB25" w14:textId="77777777" w:rsidTr="00555A56">
        <w:trPr>
          <w:trHeight w:val="195"/>
        </w:trPr>
        <w:tc>
          <w:tcPr>
            <w:tcW w:w="1271" w:type="dxa"/>
            <w:vMerge w:val="restart"/>
            <w:tcMar>
              <w:left w:w="70" w:type="dxa"/>
              <w:right w:w="70" w:type="dxa"/>
            </w:tcMar>
          </w:tcPr>
          <w:p w14:paraId="7760FB6F" w14:textId="77777777" w:rsidR="00E63726" w:rsidRPr="005A0FC6" w:rsidRDefault="00E63726" w:rsidP="00555A56">
            <w:pPr>
              <w:rPr>
                <w:rFonts w:ascii="Times New Roman" w:eastAsia="Times New Roman" w:hAnsi="Times New Roman" w:cs="Times New Roman"/>
                <w:b/>
                <w:bCs/>
                <w:color w:val="424242"/>
                <w:sz w:val="18"/>
                <w:szCs w:val="18"/>
              </w:rPr>
            </w:pPr>
            <w:r w:rsidRPr="005A0FC6">
              <w:rPr>
                <w:rFonts w:ascii="Times New Roman" w:eastAsia="Times New Roman" w:hAnsi="Times New Roman" w:cs="Times New Roman"/>
                <w:b/>
                <w:bCs/>
                <w:color w:val="424242"/>
                <w:sz w:val="18"/>
                <w:szCs w:val="18"/>
              </w:rPr>
              <w:t>Open science ethics</w:t>
            </w:r>
          </w:p>
        </w:tc>
        <w:tc>
          <w:tcPr>
            <w:tcW w:w="2835" w:type="dxa"/>
            <w:tcMar>
              <w:left w:w="70" w:type="dxa"/>
              <w:right w:w="70" w:type="dxa"/>
            </w:tcMar>
            <w:vAlign w:val="center"/>
          </w:tcPr>
          <w:p w14:paraId="5E9ABF64"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Competing interest statements</w:t>
            </w:r>
          </w:p>
        </w:tc>
        <w:tc>
          <w:tcPr>
            <w:tcW w:w="524" w:type="dxa"/>
            <w:tcMar>
              <w:left w:w="70" w:type="dxa"/>
              <w:right w:w="70" w:type="dxa"/>
            </w:tcMar>
            <w:vAlign w:val="bottom"/>
          </w:tcPr>
          <w:p w14:paraId="71AD5915"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223F813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794C640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02A767D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10F7017F" w14:textId="77777777" w:rsidTr="00555A56">
        <w:trPr>
          <w:trHeight w:val="195"/>
        </w:trPr>
        <w:tc>
          <w:tcPr>
            <w:tcW w:w="1271" w:type="dxa"/>
            <w:vMerge/>
            <w:vAlign w:val="center"/>
          </w:tcPr>
          <w:p w14:paraId="11208BB4"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289C3A1B"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Fundings statements</w:t>
            </w:r>
          </w:p>
        </w:tc>
        <w:tc>
          <w:tcPr>
            <w:tcW w:w="524" w:type="dxa"/>
            <w:tcMar>
              <w:left w:w="70" w:type="dxa"/>
              <w:right w:w="70" w:type="dxa"/>
            </w:tcMar>
            <w:vAlign w:val="bottom"/>
          </w:tcPr>
          <w:p w14:paraId="0C6DDCC0"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6DBA7B6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261D0D7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439A493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626ECF30" w14:textId="77777777" w:rsidTr="00555A56">
        <w:trPr>
          <w:trHeight w:val="195"/>
        </w:trPr>
        <w:tc>
          <w:tcPr>
            <w:tcW w:w="1271" w:type="dxa"/>
            <w:vMerge/>
            <w:vAlign w:val="center"/>
          </w:tcPr>
          <w:p w14:paraId="6F01220D"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1984406A"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Retractions</w:t>
            </w:r>
          </w:p>
        </w:tc>
        <w:tc>
          <w:tcPr>
            <w:tcW w:w="524" w:type="dxa"/>
            <w:tcMar>
              <w:left w:w="70" w:type="dxa"/>
              <w:right w:w="70" w:type="dxa"/>
            </w:tcMar>
            <w:vAlign w:val="bottom"/>
          </w:tcPr>
          <w:p w14:paraId="01A7E75F"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2163D83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0E6A925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297E041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090F5F2C" w14:textId="77777777" w:rsidTr="00555A56">
        <w:trPr>
          <w:trHeight w:val="195"/>
        </w:trPr>
        <w:tc>
          <w:tcPr>
            <w:tcW w:w="1271" w:type="dxa"/>
            <w:vMerge/>
            <w:vAlign w:val="center"/>
          </w:tcPr>
          <w:p w14:paraId="500F3FD0"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740FE8C6"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Other</w:t>
            </w:r>
          </w:p>
        </w:tc>
        <w:tc>
          <w:tcPr>
            <w:tcW w:w="524" w:type="dxa"/>
            <w:tcMar>
              <w:left w:w="70" w:type="dxa"/>
              <w:right w:w="70" w:type="dxa"/>
            </w:tcMar>
            <w:vAlign w:val="bottom"/>
          </w:tcPr>
          <w:p w14:paraId="2161E872"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441F224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7972AE7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3F9D1A8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1F61FAB4" w14:textId="77777777" w:rsidTr="00555A56">
        <w:trPr>
          <w:trHeight w:val="195"/>
        </w:trPr>
        <w:tc>
          <w:tcPr>
            <w:tcW w:w="1271" w:type="dxa"/>
            <w:vMerge w:val="restart"/>
            <w:tcMar>
              <w:left w:w="70" w:type="dxa"/>
              <w:right w:w="70" w:type="dxa"/>
            </w:tcMar>
          </w:tcPr>
          <w:p w14:paraId="2DC2E251" w14:textId="77777777" w:rsidR="00E63726" w:rsidRPr="005A0FC6" w:rsidRDefault="00E63726" w:rsidP="00555A56">
            <w:pPr>
              <w:rPr>
                <w:rFonts w:ascii="Times New Roman" w:eastAsia="Times New Roman" w:hAnsi="Times New Roman" w:cs="Times New Roman"/>
                <w:b/>
                <w:bCs/>
                <w:color w:val="424242"/>
                <w:sz w:val="18"/>
                <w:szCs w:val="18"/>
              </w:rPr>
            </w:pPr>
            <w:r w:rsidRPr="005A0FC6">
              <w:rPr>
                <w:rFonts w:ascii="Times New Roman" w:eastAsia="Times New Roman" w:hAnsi="Times New Roman" w:cs="Times New Roman"/>
                <w:b/>
                <w:bCs/>
                <w:color w:val="424242"/>
                <w:sz w:val="18"/>
                <w:szCs w:val="18"/>
              </w:rPr>
              <w:t>Open evaluations</w:t>
            </w:r>
          </w:p>
        </w:tc>
        <w:tc>
          <w:tcPr>
            <w:tcW w:w="2835" w:type="dxa"/>
            <w:tcMar>
              <w:left w:w="70" w:type="dxa"/>
              <w:right w:w="70" w:type="dxa"/>
            </w:tcMar>
            <w:vAlign w:val="center"/>
          </w:tcPr>
          <w:p w14:paraId="28711445"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Open peer review - Open identities</w:t>
            </w:r>
          </w:p>
        </w:tc>
        <w:tc>
          <w:tcPr>
            <w:tcW w:w="524" w:type="dxa"/>
            <w:tcMar>
              <w:left w:w="70" w:type="dxa"/>
              <w:right w:w="70" w:type="dxa"/>
            </w:tcMar>
            <w:vAlign w:val="bottom"/>
          </w:tcPr>
          <w:p w14:paraId="1523628D"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098879A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53AF47D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0663027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513D5E27" w14:textId="77777777" w:rsidTr="00555A56">
        <w:trPr>
          <w:trHeight w:val="195"/>
        </w:trPr>
        <w:tc>
          <w:tcPr>
            <w:tcW w:w="1271" w:type="dxa"/>
            <w:vMerge/>
            <w:vAlign w:val="center"/>
          </w:tcPr>
          <w:p w14:paraId="0CDB87B6"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5CF20D0F"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Open peer review - Open reports</w:t>
            </w:r>
          </w:p>
        </w:tc>
        <w:tc>
          <w:tcPr>
            <w:tcW w:w="524" w:type="dxa"/>
            <w:tcMar>
              <w:left w:w="70" w:type="dxa"/>
              <w:right w:w="70" w:type="dxa"/>
            </w:tcMar>
            <w:vAlign w:val="bottom"/>
          </w:tcPr>
          <w:p w14:paraId="4CEBDE47"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0FBB1DD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1875797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6DC2477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1D56F93E" w14:textId="77777777" w:rsidTr="00555A56">
        <w:trPr>
          <w:trHeight w:val="195"/>
        </w:trPr>
        <w:tc>
          <w:tcPr>
            <w:tcW w:w="1271" w:type="dxa"/>
            <w:vMerge/>
            <w:vAlign w:val="center"/>
          </w:tcPr>
          <w:p w14:paraId="3A51CC9E"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6F23AA0E"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Open peer review - Open pre-review</w:t>
            </w:r>
          </w:p>
        </w:tc>
        <w:tc>
          <w:tcPr>
            <w:tcW w:w="524" w:type="dxa"/>
            <w:tcMar>
              <w:left w:w="70" w:type="dxa"/>
              <w:right w:w="70" w:type="dxa"/>
            </w:tcMar>
            <w:vAlign w:val="bottom"/>
          </w:tcPr>
          <w:p w14:paraId="463FC110"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16DE64E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6CD1761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3AAD16F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5711BBEE" w14:textId="77777777" w:rsidTr="00555A56">
        <w:trPr>
          <w:trHeight w:val="195"/>
        </w:trPr>
        <w:tc>
          <w:tcPr>
            <w:tcW w:w="1271" w:type="dxa"/>
            <w:vMerge/>
            <w:vAlign w:val="center"/>
          </w:tcPr>
          <w:p w14:paraId="2CA48E80"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3FFB8936"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Open peer review - Final version commenting</w:t>
            </w:r>
          </w:p>
        </w:tc>
        <w:tc>
          <w:tcPr>
            <w:tcW w:w="524" w:type="dxa"/>
            <w:tcMar>
              <w:left w:w="70" w:type="dxa"/>
              <w:right w:w="70" w:type="dxa"/>
            </w:tcMar>
            <w:vAlign w:val="bottom"/>
          </w:tcPr>
          <w:p w14:paraId="2FCBA5C0"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32A2750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1D6FF21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6AA856A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6167FBA8" w14:textId="77777777" w:rsidTr="00555A56">
        <w:trPr>
          <w:trHeight w:val="195"/>
        </w:trPr>
        <w:tc>
          <w:tcPr>
            <w:tcW w:w="1271" w:type="dxa"/>
            <w:vMerge/>
            <w:vAlign w:val="center"/>
          </w:tcPr>
          <w:p w14:paraId="5E63832F"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2AAC873B"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Open metrics</w:t>
            </w:r>
          </w:p>
        </w:tc>
        <w:tc>
          <w:tcPr>
            <w:tcW w:w="524" w:type="dxa"/>
            <w:tcMar>
              <w:left w:w="70" w:type="dxa"/>
              <w:right w:w="70" w:type="dxa"/>
            </w:tcMar>
            <w:vAlign w:val="bottom"/>
          </w:tcPr>
          <w:p w14:paraId="37CC9E27"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3FDC0F1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783BC5C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281FA77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0BC7BB04" w14:textId="77777777" w:rsidTr="00555A56">
        <w:trPr>
          <w:trHeight w:val="195"/>
        </w:trPr>
        <w:tc>
          <w:tcPr>
            <w:tcW w:w="1271" w:type="dxa"/>
            <w:vMerge/>
            <w:vAlign w:val="center"/>
          </w:tcPr>
          <w:p w14:paraId="6D2E5929"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261F60C6"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Other</w:t>
            </w:r>
          </w:p>
        </w:tc>
        <w:tc>
          <w:tcPr>
            <w:tcW w:w="524" w:type="dxa"/>
            <w:tcMar>
              <w:left w:w="70" w:type="dxa"/>
              <w:right w:w="70" w:type="dxa"/>
            </w:tcMar>
            <w:vAlign w:val="bottom"/>
          </w:tcPr>
          <w:p w14:paraId="1CD04E8B"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7E61F05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0E4DAB7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54B701A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7FD3C544" w14:textId="77777777" w:rsidTr="00555A56">
        <w:trPr>
          <w:trHeight w:val="195"/>
        </w:trPr>
        <w:tc>
          <w:tcPr>
            <w:tcW w:w="1271" w:type="dxa"/>
            <w:vMerge w:val="restart"/>
            <w:tcMar>
              <w:left w:w="70" w:type="dxa"/>
              <w:right w:w="70" w:type="dxa"/>
            </w:tcMar>
          </w:tcPr>
          <w:p w14:paraId="085E3D48" w14:textId="77777777" w:rsidR="00E63726" w:rsidRPr="005A0FC6" w:rsidRDefault="00E63726" w:rsidP="00555A56">
            <w:pPr>
              <w:rPr>
                <w:rFonts w:ascii="Times New Roman" w:eastAsia="Times New Roman" w:hAnsi="Times New Roman" w:cs="Times New Roman"/>
                <w:b/>
                <w:bCs/>
                <w:color w:val="424242"/>
                <w:sz w:val="18"/>
                <w:szCs w:val="18"/>
              </w:rPr>
            </w:pPr>
            <w:r w:rsidRPr="005A0FC6">
              <w:rPr>
                <w:rFonts w:ascii="Times New Roman" w:eastAsia="Times New Roman" w:hAnsi="Times New Roman" w:cs="Times New Roman"/>
                <w:b/>
                <w:bCs/>
                <w:color w:val="424242"/>
                <w:sz w:val="18"/>
                <w:szCs w:val="18"/>
              </w:rPr>
              <w:t>Open educational resources</w:t>
            </w:r>
          </w:p>
        </w:tc>
        <w:tc>
          <w:tcPr>
            <w:tcW w:w="2835" w:type="dxa"/>
            <w:tcMar>
              <w:left w:w="70" w:type="dxa"/>
              <w:right w:w="70" w:type="dxa"/>
            </w:tcMar>
            <w:vAlign w:val="center"/>
          </w:tcPr>
          <w:p w14:paraId="2261A8CF"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Open educational resources</w:t>
            </w:r>
          </w:p>
        </w:tc>
        <w:tc>
          <w:tcPr>
            <w:tcW w:w="524" w:type="dxa"/>
            <w:tcMar>
              <w:left w:w="70" w:type="dxa"/>
              <w:right w:w="70" w:type="dxa"/>
            </w:tcMar>
            <w:vAlign w:val="bottom"/>
          </w:tcPr>
          <w:p w14:paraId="1795C2C7"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675DFAE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1B6F22A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1190ECA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4F54F56B" w14:textId="77777777" w:rsidTr="00555A56">
        <w:trPr>
          <w:trHeight w:val="195"/>
        </w:trPr>
        <w:tc>
          <w:tcPr>
            <w:tcW w:w="1271" w:type="dxa"/>
            <w:vMerge/>
            <w:vAlign w:val="center"/>
          </w:tcPr>
          <w:p w14:paraId="7A43B28B"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12256D9E"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Open science communities, networks, journal clubs</w:t>
            </w:r>
          </w:p>
        </w:tc>
        <w:tc>
          <w:tcPr>
            <w:tcW w:w="524" w:type="dxa"/>
            <w:tcMar>
              <w:left w:w="70" w:type="dxa"/>
              <w:right w:w="70" w:type="dxa"/>
            </w:tcMar>
            <w:vAlign w:val="bottom"/>
          </w:tcPr>
          <w:p w14:paraId="40EB0843"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13A8BF3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4BBC88C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1AD743E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464B8DA4" w14:textId="77777777" w:rsidTr="00555A56">
        <w:trPr>
          <w:trHeight w:val="195"/>
        </w:trPr>
        <w:tc>
          <w:tcPr>
            <w:tcW w:w="1271" w:type="dxa"/>
            <w:vMerge/>
            <w:vAlign w:val="center"/>
          </w:tcPr>
          <w:p w14:paraId="0957F76B" w14:textId="77777777" w:rsidR="00E63726" w:rsidRPr="005A0FC6" w:rsidRDefault="00E63726" w:rsidP="00555A56">
            <w:pPr>
              <w:rPr>
                <w:rFonts w:ascii="Times New Roman" w:hAnsi="Times New Roman" w:cs="Times New Roman"/>
                <w:sz w:val="18"/>
                <w:szCs w:val="18"/>
              </w:rPr>
            </w:pPr>
          </w:p>
        </w:tc>
        <w:tc>
          <w:tcPr>
            <w:tcW w:w="2835" w:type="dxa"/>
            <w:vMerge w:val="restart"/>
            <w:tcMar>
              <w:left w:w="70" w:type="dxa"/>
              <w:right w:w="70" w:type="dxa"/>
            </w:tcMar>
          </w:tcPr>
          <w:p w14:paraId="0EBB8CC8"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Training</w:t>
            </w:r>
          </w:p>
        </w:tc>
        <w:tc>
          <w:tcPr>
            <w:tcW w:w="524" w:type="dxa"/>
            <w:vMerge w:val="restart"/>
            <w:tcMar>
              <w:left w:w="70" w:type="dxa"/>
              <w:right w:w="70" w:type="dxa"/>
            </w:tcMar>
          </w:tcPr>
          <w:p w14:paraId="4C147E04"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2</w:t>
            </w:r>
          </w:p>
        </w:tc>
        <w:tc>
          <w:tcPr>
            <w:tcW w:w="1405" w:type="dxa"/>
            <w:tcMar>
              <w:left w:w="70" w:type="dxa"/>
              <w:right w:w="70" w:type="dxa"/>
            </w:tcMar>
            <w:vAlign w:val="bottom"/>
          </w:tcPr>
          <w:p w14:paraId="4933437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standardization</w:t>
            </w:r>
          </w:p>
        </w:tc>
        <w:tc>
          <w:tcPr>
            <w:tcW w:w="1951" w:type="dxa"/>
            <w:tcMar>
              <w:left w:w="70" w:type="dxa"/>
              <w:right w:w="70" w:type="dxa"/>
            </w:tcMar>
            <w:vAlign w:val="bottom"/>
          </w:tcPr>
          <w:p w14:paraId="4EB0B25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training</w:t>
            </w:r>
          </w:p>
        </w:tc>
        <w:tc>
          <w:tcPr>
            <w:tcW w:w="1082" w:type="dxa"/>
            <w:tcMar>
              <w:left w:w="70" w:type="dxa"/>
              <w:right w:w="70" w:type="dxa"/>
            </w:tcMar>
            <w:vAlign w:val="bottom"/>
          </w:tcPr>
          <w:p w14:paraId="6BB628E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Deardorff (2020)</w:t>
            </w:r>
          </w:p>
        </w:tc>
      </w:tr>
      <w:tr w:rsidR="00E63726" w:rsidRPr="005A0FC6" w14:paraId="76D7446E" w14:textId="77777777" w:rsidTr="00555A56">
        <w:trPr>
          <w:trHeight w:val="195"/>
        </w:trPr>
        <w:tc>
          <w:tcPr>
            <w:tcW w:w="1271" w:type="dxa"/>
            <w:vMerge/>
            <w:vAlign w:val="center"/>
          </w:tcPr>
          <w:p w14:paraId="5B85AC1C"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32289EB7"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5B5DA593"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32A5E31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systematic reviews</w:t>
            </w:r>
          </w:p>
        </w:tc>
        <w:tc>
          <w:tcPr>
            <w:tcW w:w="1951" w:type="dxa"/>
            <w:tcMar>
              <w:left w:w="70" w:type="dxa"/>
              <w:right w:w="70" w:type="dxa"/>
            </w:tcMar>
            <w:vAlign w:val="bottom"/>
          </w:tcPr>
          <w:p w14:paraId="2106291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training</w:t>
            </w:r>
          </w:p>
        </w:tc>
        <w:tc>
          <w:tcPr>
            <w:tcW w:w="1082" w:type="dxa"/>
            <w:tcMar>
              <w:left w:w="70" w:type="dxa"/>
              <w:right w:w="70" w:type="dxa"/>
            </w:tcMar>
            <w:vAlign w:val="bottom"/>
          </w:tcPr>
          <w:p w14:paraId="046376F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Menon (2021)</w:t>
            </w:r>
          </w:p>
        </w:tc>
      </w:tr>
      <w:tr w:rsidR="00E63726" w:rsidRPr="005A0FC6" w14:paraId="24289AA6" w14:textId="77777777" w:rsidTr="00555A56">
        <w:trPr>
          <w:trHeight w:val="195"/>
        </w:trPr>
        <w:tc>
          <w:tcPr>
            <w:tcW w:w="1271" w:type="dxa"/>
            <w:vMerge/>
            <w:vAlign w:val="center"/>
          </w:tcPr>
          <w:p w14:paraId="3B692F57"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4D49EE5A"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Other</w:t>
            </w:r>
          </w:p>
        </w:tc>
        <w:tc>
          <w:tcPr>
            <w:tcW w:w="524" w:type="dxa"/>
            <w:tcMar>
              <w:left w:w="70" w:type="dxa"/>
              <w:right w:w="70" w:type="dxa"/>
            </w:tcMar>
            <w:vAlign w:val="bottom"/>
          </w:tcPr>
          <w:p w14:paraId="2849D30E"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1</w:t>
            </w:r>
          </w:p>
        </w:tc>
        <w:tc>
          <w:tcPr>
            <w:tcW w:w="1405" w:type="dxa"/>
            <w:tcMar>
              <w:left w:w="70" w:type="dxa"/>
              <w:right w:w="70" w:type="dxa"/>
            </w:tcMar>
            <w:vAlign w:val="bottom"/>
          </w:tcPr>
          <w:p w14:paraId="33328A3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preregistration</w:t>
            </w:r>
          </w:p>
        </w:tc>
        <w:tc>
          <w:tcPr>
            <w:tcW w:w="1951" w:type="dxa"/>
            <w:tcMar>
              <w:left w:w="70" w:type="dxa"/>
              <w:right w:w="70" w:type="dxa"/>
            </w:tcMar>
            <w:vAlign w:val="bottom"/>
          </w:tcPr>
          <w:p w14:paraId="34EC45E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results-free review</w:t>
            </w:r>
          </w:p>
        </w:tc>
        <w:tc>
          <w:tcPr>
            <w:tcW w:w="1082" w:type="dxa"/>
            <w:tcMar>
              <w:left w:w="70" w:type="dxa"/>
              <w:right w:w="70" w:type="dxa"/>
            </w:tcMar>
            <w:vAlign w:val="bottom"/>
          </w:tcPr>
          <w:p w14:paraId="674383E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Findley (2016)</w:t>
            </w:r>
          </w:p>
        </w:tc>
      </w:tr>
      <w:tr w:rsidR="00E63726" w:rsidRPr="005A0FC6" w14:paraId="0C1977C0" w14:textId="77777777" w:rsidTr="00555A56">
        <w:trPr>
          <w:trHeight w:val="195"/>
        </w:trPr>
        <w:tc>
          <w:tcPr>
            <w:tcW w:w="1271" w:type="dxa"/>
            <w:vMerge w:val="restart"/>
            <w:tcMar>
              <w:left w:w="70" w:type="dxa"/>
              <w:right w:w="70" w:type="dxa"/>
            </w:tcMar>
          </w:tcPr>
          <w:p w14:paraId="44C1A8B2" w14:textId="77777777" w:rsidR="00E63726" w:rsidRPr="005A0FC6" w:rsidRDefault="00E63726" w:rsidP="00555A56">
            <w:pPr>
              <w:rPr>
                <w:rFonts w:ascii="Times New Roman" w:eastAsia="Times New Roman" w:hAnsi="Times New Roman" w:cs="Times New Roman"/>
                <w:b/>
                <w:bCs/>
                <w:color w:val="424242"/>
                <w:sz w:val="18"/>
                <w:szCs w:val="18"/>
              </w:rPr>
            </w:pPr>
            <w:r w:rsidRPr="005A0FC6">
              <w:rPr>
                <w:rFonts w:ascii="Times New Roman" w:eastAsia="Times New Roman" w:hAnsi="Times New Roman" w:cs="Times New Roman"/>
                <w:b/>
                <w:bCs/>
                <w:color w:val="424242"/>
                <w:sz w:val="18"/>
                <w:szCs w:val="18"/>
              </w:rPr>
              <w:t>Open science tools</w:t>
            </w:r>
          </w:p>
        </w:tc>
        <w:tc>
          <w:tcPr>
            <w:tcW w:w="2835" w:type="dxa"/>
            <w:tcMar>
              <w:left w:w="70" w:type="dxa"/>
              <w:right w:w="70" w:type="dxa"/>
            </w:tcMar>
            <w:vAlign w:val="center"/>
          </w:tcPr>
          <w:p w14:paraId="54719F10"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Open repositories, data repositories</w:t>
            </w:r>
          </w:p>
        </w:tc>
        <w:tc>
          <w:tcPr>
            <w:tcW w:w="524" w:type="dxa"/>
            <w:tcMar>
              <w:left w:w="70" w:type="dxa"/>
              <w:right w:w="70" w:type="dxa"/>
            </w:tcMar>
            <w:vAlign w:val="bottom"/>
          </w:tcPr>
          <w:p w14:paraId="25EFFFF5"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033B1700"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0CEE08E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22D9799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7B46288B" w14:textId="77777777" w:rsidTr="00555A56">
        <w:trPr>
          <w:trHeight w:val="195"/>
        </w:trPr>
        <w:tc>
          <w:tcPr>
            <w:tcW w:w="1271" w:type="dxa"/>
            <w:vMerge/>
            <w:vAlign w:val="center"/>
          </w:tcPr>
          <w:p w14:paraId="4813C14D"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38EB802D"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Open workflow tools, workflow management systems</w:t>
            </w:r>
          </w:p>
        </w:tc>
        <w:tc>
          <w:tcPr>
            <w:tcW w:w="524" w:type="dxa"/>
            <w:tcMar>
              <w:left w:w="70" w:type="dxa"/>
              <w:right w:w="70" w:type="dxa"/>
            </w:tcMar>
            <w:vAlign w:val="bottom"/>
          </w:tcPr>
          <w:p w14:paraId="3DA10E5F"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1</w:t>
            </w:r>
          </w:p>
        </w:tc>
        <w:tc>
          <w:tcPr>
            <w:tcW w:w="1405" w:type="dxa"/>
            <w:tcMar>
              <w:left w:w="70" w:type="dxa"/>
              <w:right w:w="70" w:type="dxa"/>
            </w:tcMar>
            <w:vAlign w:val="bottom"/>
          </w:tcPr>
          <w:p w14:paraId="66B12C0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standardization</w:t>
            </w:r>
          </w:p>
        </w:tc>
        <w:tc>
          <w:tcPr>
            <w:tcW w:w="1951" w:type="dxa"/>
            <w:tcMar>
              <w:left w:w="70" w:type="dxa"/>
              <w:right w:w="70" w:type="dxa"/>
            </w:tcMar>
            <w:vAlign w:val="bottom"/>
          </w:tcPr>
          <w:p w14:paraId="35F3CAE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tools</w:t>
            </w:r>
          </w:p>
        </w:tc>
        <w:tc>
          <w:tcPr>
            <w:tcW w:w="1082" w:type="dxa"/>
            <w:tcMar>
              <w:left w:w="70" w:type="dxa"/>
              <w:right w:w="70" w:type="dxa"/>
            </w:tcMar>
            <w:vAlign w:val="bottom"/>
          </w:tcPr>
          <w:p w14:paraId="64BB29F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Madduri (2019)</w:t>
            </w:r>
          </w:p>
        </w:tc>
      </w:tr>
      <w:tr w:rsidR="00E63726" w:rsidRPr="005A0FC6" w14:paraId="6DB73285" w14:textId="77777777" w:rsidTr="00555A56">
        <w:trPr>
          <w:trHeight w:val="195"/>
        </w:trPr>
        <w:tc>
          <w:tcPr>
            <w:tcW w:w="1271" w:type="dxa"/>
            <w:vMerge/>
            <w:vAlign w:val="center"/>
          </w:tcPr>
          <w:p w14:paraId="4D8E5CB3"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698710C6"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Version control</w:t>
            </w:r>
          </w:p>
        </w:tc>
        <w:tc>
          <w:tcPr>
            <w:tcW w:w="524" w:type="dxa"/>
            <w:tcMar>
              <w:left w:w="70" w:type="dxa"/>
              <w:right w:w="70" w:type="dxa"/>
            </w:tcMar>
            <w:vAlign w:val="bottom"/>
          </w:tcPr>
          <w:p w14:paraId="7D9B5C49"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4C304CF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7406521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3188F1F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5DDE3CB6" w14:textId="77777777" w:rsidTr="00555A56">
        <w:trPr>
          <w:trHeight w:val="195"/>
        </w:trPr>
        <w:tc>
          <w:tcPr>
            <w:tcW w:w="1271" w:type="dxa"/>
            <w:vMerge/>
            <w:vAlign w:val="center"/>
          </w:tcPr>
          <w:p w14:paraId="281A1573"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0BB59D72"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Collaborative platforms</w:t>
            </w:r>
          </w:p>
        </w:tc>
        <w:tc>
          <w:tcPr>
            <w:tcW w:w="524" w:type="dxa"/>
            <w:tcMar>
              <w:left w:w="70" w:type="dxa"/>
              <w:right w:w="70" w:type="dxa"/>
            </w:tcMar>
            <w:vAlign w:val="bottom"/>
          </w:tcPr>
          <w:p w14:paraId="5165C886"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48CA99A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1F75F88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0BCD4BB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684C30D9" w14:textId="77777777" w:rsidTr="00555A56">
        <w:trPr>
          <w:trHeight w:val="195"/>
        </w:trPr>
        <w:tc>
          <w:tcPr>
            <w:tcW w:w="1271" w:type="dxa"/>
            <w:vMerge/>
            <w:vAlign w:val="center"/>
          </w:tcPr>
          <w:p w14:paraId="31CC09C7"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7B9FF433"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Dockerization, docker</w:t>
            </w:r>
          </w:p>
        </w:tc>
        <w:tc>
          <w:tcPr>
            <w:tcW w:w="524" w:type="dxa"/>
            <w:tcMar>
              <w:left w:w="70" w:type="dxa"/>
              <w:right w:w="70" w:type="dxa"/>
            </w:tcMar>
            <w:vAlign w:val="bottom"/>
          </w:tcPr>
          <w:p w14:paraId="426851B9"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1</w:t>
            </w:r>
          </w:p>
        </w:tc>
        <w:tc>
          <w:tcPr>
            <w:tcW w:w="1405" w:type="dxa"/>
            <w:tcMar>
              <w:left w:w="70" w:type="dxa"/>
              <w:right w:w="70" w:type="dxa"/>
            </w:tcMar>
            <w:vAlign w:val="bottom"/>
          </w:tcPr>
          <w:p w14:paraId="3713F02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statistical tool</w:t>
            </w:r>
          </w:p>
        </w:tc>
        <w:tc>
          <w:tcPr>
            <w:tcW w:w="1951" w:type="dxa"/>
            <w:tcMar>
              <w:left w:w="70" w:type="dxa"/>
              <w:right w:w="70" w:type="dxa"/>
            </w:tcMar>
            <w:vAlign w:val="bottom"/>
          </w:tcPr>
          <w:p w14:paraId="12F1397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statistical tool</w:t>
            </w:r>
          </w:p>
        </w:tc>
        <w:tc>
          <w:tcPr>
            <w:tcW w:w="1082" w:type="dxa"/>
            <w:tcMar>
              <w:left w:w="70" w:type="dxa"/>
              <w:right w:w="70" w:type="dxa"/>
            </w:tcMar>
            <w:vAlign w:val="bottom"/>
          </w:tcPr>
          <w:p w14:paraId="4B35C17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Chan (2023)</w:t>
            </w:r>
          </w:p>
        </w:tc>
      </w:tr>
      <w:tr w:rsidR="00E63726" w:rsidRPr="005A0FC6" w14:paraId="147CFE76" w14:textId="77777777" w:rsidTr="00555A56">
        <w:trPr>
          <w:trHeight w:val="195"/>
        </w:trPr>
        <w:tc>
          <w:tcPr>
            <w:tcW w:w="1271" w:type="dxa"/>
            <w:vMerge/>
            <w:vAlign w:val="center"/>
          </w:tcPr>
          <w:p w14:paraId="4DFAD244"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2A6167F3"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Software containers (general frameworks for handling dependencies)</w:t>
            </w:r>
          </w:p>
        </w:tc>
        <w:tc>
          <w:tcPr>
            <w:tcW w:w="524" w:type="dxa"/>
            <w:tcMar>
              <w:left w:w="70" w:type="dxa"/>
              <w:right w:w="70" w:type="dxa"/>
            </w:tcMar>
            <w:vAlign w:val="bottom"/>
          </w:tcPr>
          <w:p w14:paraId="75DDA8AB"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539CAEB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3CE69ED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766825B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2486E3DB" w14:textId="77777777" w:rsidTr="00555A56">
        <w:trPr>
          <w:trHeight w:val="195"/>
        </w:trPr>
        <w:tc>
          <w:tcPr>
            <w:tcW w:w="1271" w:type="dxa"/>
            <w:vMerge/>
            <w:vAlign w:val="center"/>
          </w:tcPr>
          <w:p w14:paraId="1A3AA1E7"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5661D4C3"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Software versioning</w:t>
            </w:r>
          </w:p>
        </w:tc>
        <w:tc>
          <w:tcPr>
            <w:tcW w:w="524" w:type="dxa"/>
            <w:tcMar>
              <w:left w:w="70" w:type="dxa"/>
              <w:right w:w="70" w:type="dxa"/>
            </w:tcMar>
            <w:vAlign w:val="bottom"/>
          </w:tcPr>
          <w:p w14:paraId="022C1F60"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71BC53E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60EACCC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2AC00B8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38E7913D" w14:textId="77777777" w:rsidTr="00555A56">
        <w:trPr>
          <w:trHeight w:val="195"/>
        </w:trPr>
        <w:tc>
          <w:tcPr>
            <w:tcW w:w="1271" w:type="dxa"/>
            <w:vMerge/>
            <w:vAlign w:val="center"/>
          </w:tcPr>
          <w:p w14:paraId="65E009AB"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5EDFDF67"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Data presentation software</w:t>
            </w:r>
          </w:p>
        </w:tc>
        <w:tc>
          <w:tcPr>
            <w:tcW w:w="524" w:type="dxa"/>
            <w:tcMar>
              <w:left w:w="70" w:type="dxa"/>
              <w:right w:w="70" w:type="dxa"/>
            </w:tcMar>
            <w:vAlign w:val="bottom"/>
          </w:tcPr>
          <w:p w14:paraId="4D8A5D0A"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502034A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7E91CE3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3AA0764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671FC5F5" w14:textId="77777777" w:rsidTr="00555A56">
        <w:trPr>
          <w:trHeight w:val="195"/>
        </w:trPr>
        <w:tc>
          <w:tcPr>
            <w:tcW w:w="1271" w:type="dxa"/>
            <w:vMerge/>
            <w:vAlign w:val="center"/>
          </w:tcPr>
          <w:p w14:paraId="26BB9127"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04BC3D4B"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Continuous integration</w:t>
            </w:r>
          </w:p>
        </w:tc>
        <w:tc>
          <w:tcPr>
            <w:tcW w:w="524" w:type="dxa"/>
            <w:tcMar>
              <w:left w:w="70" w:type="dxa"/>
              <w:right w:w="70" w:type="dxa"/>
            </w:tcMar>
            <w:vAlign w:val="bottom"/>
          </w:tcPr>
          <w:p w14:paraId="44881B98"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34977CA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3295AB6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32DD194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29B8E706" w14:textId="77777777" w:rsidTr="00555A56">
        <w:trPr>
          <w:trHeight w:val="195"/>
        </w:trPr>
        <w:tc>
          <w:tcPr>
            <w:tcW w:w="1271" w:type="dxa"/>
            <w:vMerge/>
            <w:vAlign w:val="center"/>
          </w:tcPr>
          <w:p w14:paraId="48FA29EF"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40279F2C"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Executable Research Compendium</w:t>
            </w:r>
          </w:p>
        </w:tc>
        <w:tc>
          <w:tcPr>
            <w:tcW w:w="524" w:type="dxa"/>
            <w:tcMar>
              <w:left w:w="70" w:type="dxa"/>
              <w:right w:w="70" w:type="dxa"/>
            </w:tcMar>
            <w:vAlign w:val="bottom"/>
          </w:tcPr>
          <w:p w14:paraId="4B1243A9"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405" w:type="dxa"/>
            <w:tcMar>
              <w:left w:w="70" w:type="dxa"/>
              <w:right w:w="70" w:type="dxa"/>
            </w:tcMar>
            <w:vAlign w:val="bottom"/>
          </w:tcPr>
          <w:p w14:paraId="16BA7AB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0B02B3E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082" w:type="dxa"/>
            <w:tcMar>
              <w:left w:w="70" w:type="dxa"/>
              <w:right w:w="70" w:type="dxa"/>
            </w:tcMar>
            <w:vAlign w:val="bottom"/>
          </w:tcPr>
          <w:p w14:paraId="01BC23E0"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0271A6F3" w14:textId="77777777" w:rsidTr="00555A56">
        <w:trPr>
          <w:trHeight w:val="195"/>
        </w:trPr>
        <w:tc>
          <w:tcPr>
            <w:tcW w:w="1271" w:type="dxa"/>
            <w:vMerge/>
            <w:vAlign w:val="center"/>
          </w:tcPr>
          <w:p w14:paraId="35838FD3" w14:textId="77777777" w:rsidR="00E63726" w:rsidRPr="005A0FC6" w:rsidRDefault="00E63726" w:rsidP="00555A56">
            <w:pPr>
              <w:rPr>
                <w:rFonts w:ascii="Times New Roman" w:hAnsi="Times New Roman" w:cs="Times New Roman"/>
                <w:sz w:val="18"/>
                <w:szCs w:val="18"/>
              </w:rPr>
            </w:pPr>
          </w:p>
        </w:tc>
        <w:tc>
          <w:tcPr>
            <w:tcW w:w="2835" w:type="dxa"/>
            <w:vMerge w:val="restart"/>
            <w:tcMar>
              <w:left w:w="70" w:type="dxa"/>
              <w:right w:w="70" w:type="dxa"/>
            </w:tcMar>
          </w:tcPr>
          <w:p w14:paraId="13315671"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Other</w:t>
            </w:r>
          </w:p>
        </w:tc>
        <w:tc>
          <w:tcPr>
            <w:tcW w:w="524" w:type="dxa"/>
            <w:vMerge w:val="restart"/>
            <w:tcMar>
              <w:left w:w="70" w:type="dxa"/>
              <w:right w:w="70" w:type="dxa"/>
            </w:tcMar>
          </w:tcPr>
          <w:p w14:paraId="66CDD6C9"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5</w:t>
            </w:r>
          </w:p>
        </w:tc>
        <w:tc>
          <w:tcPr>
            <w:tcW w:w="1405" w:type="dxa"/>
            <w:tcMar>
              <w:left w:w="70" w:type="dxa"/>
              <w:right w:w="70" w:type="dxa"/>
            </w:tcMar>
            <w:vAlign w:val="bottom"/>
          </w:tcPr>
          <w:p w14:paraId="01B5BD8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automatic code cleaning</w:t>
            </w:r>
          </w:p>
        </w:tc>
        <w:tc>
          <w:tcPr>
            <w:tcW w:w="1951" w:type="dxa"/>
            <w:tcMar>
              <w:left w:w="70" w:type="dxa"/>
              <w:right w:w="70" w:type="dxa"/>
            </w:tcMar>
            <w:vAlign w:val="bottom"/>
          </w:tcPr>
          <w:p w14:paraId="3434BC1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automatic code cleaning</w:t>
            </w:r>
          </w:p>
        </w:tc>
        <w:tc>
          <w:tcPr>
            <w:tcW w:w="1082" w:type="dxa"/>
            <w:tcMar>
              <w:left w:w="70" w:type="dxa"/>
              <w:right w:w="70" w:type="dxa"/>
            </w:tcMar>
            <w:vAlign w:val="bottom"/>
          </w:tcPr>
          <w:p w14:paraId="66205BE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Trisovic (2022)</w:t>
            </w:r>
          </w:p>
        </w:tc>
      </w:tr>
      <w:tr w:rsidR="00E63726" w:rsidRPr="005A0FC6" w14:paraId="7AE6B64A" w14:textId="77777777" w:rsidTr="00555A56">
        <w:trPr>
          <w:trHeight w:val="195"/>
        </w:trPr>
        <w:tc>
          <w:tcPr>
            <w:tcW w:w="1271" w:type="dxa"/>
            <w:vMerge/>
            <w:vAlign w:val="center"/>
          </w:tcPr>
          <w:p w14:paraId="5D1E7471"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74660DC8"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0A2BB6BC"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4A0DEE30"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standardization</w:t>
            </w:r>
          </w:p>
        </w:tc>
        <w:tc>
          <w:tcPr>
            <w:tcW w:w="1951" w:type="dxa"/>
            <w:tcMar>
              <w:left w:w="70" w:type="dxa"/>
              <w:right w:w="70" w:type="dxa"/>
            </w:tcMar>
            <w:vAlign w:val="bottom"/>
          </w:tcPr>
          <w:p w14:paraId="1377818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standardization of processes</w:t>
            </w:r>
          </w:p>
        </w:tc>
        <w:tc>
          <w:tcPr>
            <w:tcW w:w="1082" w:type="dxa"/>
            <w:tcMar>
              <w:left w:w="70" w:type="dxa"/>
              <w:right w:w="70" w:type="dxa"/>
            </w:tcMar>
            <w:vAlign w:val="bottom"/>
          </w:tcPr>
          <w:p w14:paraId="6AAFF21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Sinaci (2023)</w:t>
            </w:r>
          </w:p>
        </w:tc>
      </w:tr>
      <w:tr w:rsidR="00E63726" w:rsidRPr="005A0FC6" w14:paraId="31221C0C" w14:textId="77777777" w:rsidTr="00555A56">
        <w:trPr>
          <w:trHeight w:val="405"/>
        </w:trPr>
        <w:tc>
          <w:tcPr>
            <w:tcW w:w="1271" w:type="dxa"/>
            <w:vMerge/>
            <w:vAlign w:val="center"/>
          </w:tcPr>
          <w:p w14:paraId="7FEC2A97"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222AF0D9"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64667066"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48F2E26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reporting guidelines</w:t>
            </w:r>
          </w:p>
        </w:tc>
        <w:tc>
          <w:tcPr>
            <w:tcW w:w="1951" w:type="dxa"/>
            <w:tcMar>
              <w:left w:w="70" w:type="dxa"/>
              <w:right w:w="70" w:type="dxa"/>
            </w:tcMar>
            <w:vAlign w:val="bottom"/>
          </w:tcPr>
          <w:p w14:paraId="28E4721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web-based writing aid</w:t>
            </w:r>
          </w:p>
        </w:tc>
        <w:tc>
          <w:tcPr>
            <w:tcW w:w="1082" w:type="dxa"/>
            <w:tcMar>
              <w:left w:w="70" w:type="dxa"/>
              <w:right w:w="70" w:type="dxa"/>
            </w:tcMar>
            <w:vAlign w:val="bottom"/>
          </w:tcPr>
          <w:p w14:paraId="5EF9D30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Barnes (2015), Hopewell (2016), Struthers (2021)</w:t>
            </w:r>
          </w:p>
        </w:tc>
      </w:tr>
      <w:tr w:rsidR="00E63726" w:rsidRPr="005A0FC6" w14:paraId="63E8221B" w14:textId="77777777" w:rsidTr="00555A56">
        <w:trPr>
          <w:trHeight w:val="195"/>
        </w:trPr>
        <w:tc>
          <w:tcPr>
            <w:tcW w:w="1271" w:type="dxa"/>
            <w:vMerge w:val="restart"/>
            <w:tcMar>
              <w:left w:w="70" w:type="dxa"/>
              <w:right w:w="70" w:type="dxa"/>
            </w:tcMar>
          </w:tcPr>
          <w:p w14:paraId="049AC40A" w14:textId="77777777" w:rsidR="00E63726" w:rsidRPr="005A0FC6" w:rsidRDefault="00E63726" w:rsidP="00555A56">
            <w:pPr>
              <w:rPr>
                <w:rFonts w:ascii="Times New Roman" w:eastAsia="Times New Roman" w:hAnsi="Times New Roman" w:cs="Times New Roman"/>
                <w:b/>
                <w:bCs/>
                <w:color w:val="424242"/>
                <w:sz w:val="18"/>
                <w:szCs w:val="18"/>
              </w:rPr>
            </w:pPr>
            <w:r w:rsidRPr="005A0FC6">
              <w:rPr>
                <w:rFonts w:ascii="Times New Roman" w:eastAsia="Times New Roman" w:hAnsi="Times New Roman" w:cs="Times New Roman"/>
                <w:b/>
                <w:bCs/>
                <w:color w:val="424242"/>
                <w:sz w:val="18"/>
                <w:szCs w:val="18"/>
              </w:rPr>
              <w:t>Other</w:t>
            </w:r>
          </w:p>
        </w:tc>
        <w:tc>
          <w:tcPr>
            <w:tcW w:w="2835" w:type="dxa"/>
            <w:vMerge w:val="restart"/>
            <w:tcMar>
              <w:left w:w="70" w:type="dxa"/>
              <w:right w:w="70" w:type="dxa"/>
            </w:tcMar>
          </w:tcPr>
          <w:p w14:paraId="405F78A4"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Type1/Type 2 error reduction</w:t>
            </w:r>
          </w:p>
        </w:tc>
        <w:tc>
          <w:tcPr>
            <w:tcW w:w="524" w:type="dxa"/>
            <w:vMerge w:val="restart"/>
            <w:tcMar>
              <w:left w:w="70" w:type="dxa"/>
              <w:right w:w="70" w:type="dxa"/>
            </w:tcMar>
          </w:tcPr>
          <w:p w14:paraId="29A41095"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3</w:t>
            </w:r>
          </w:p>
        </w:tc>
        <w:tc>
          <w:tcPr>
            <w:tcW w:w="1405" w:type="dxa"/>
            <w:tcMar>
              <w:left w:w="70" w:type="dxa"/>
              <w:right w:w="70" w:type="dxa"/>
            </w:tcMar>
            <w:vAlign w:val="bottom"/>
          </w:tcPr>
          <w:p w14:paraId="161CF84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statistical interventions</w:t>
            </w:r>
          </w:p>
        </w:tc>
        <w:tc>
          <w:tcPr>
            <w:tcW w:w="1951" w:type="dxa"/>
            <w:tcMar>
              <w:left w:w="70" w:type="dxa"/>
              <w:right w:w="70" w:type="dxa"/>
            </w:tcMar>
            <w:vAlign w:val="bottom"/>
          </w:tcPr>
          <w:p w14:paraId="706D6E9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effect-size filter</w:t>
            </w:r>
          </w:p>
        </w:tc>
        <w:tc>
          <w:tcPr>
            <w:tcW w:w="1082" w:type="dxa"/>
            <w:tcMar>
              <w:left w:w="70" w:type="dxa"/>
              <w:right w:w="70" w:type="dxa"/>
            </w:tcMar>
            <w:vAlign w:val="bottom"/>
          </w:tcPr>
          <w:p w14:paraId="31389CE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Gregori (2013)</w:t>
            </w:r>
          </w:p>
        </w:tc>
      </w:tr>
      <w:tr w:rsidR="00E63726" w:rsidRPr="005A0FC6" w14:paraId="1CF187E8" w14:textId="77777777" w:rsidTr="00555A56">
        <w:trPr>
          <w:trHeight w:val="195"/>
        </w:trPr>
        <w:tc>
          <w:tcPr>
            <w:tcW w:w="1271" w:type="dxa"/>
            <w:vMerge/>
            <w:vAlign w:val="center"/>
          </w:tcPr>
          <w:p w14:paraId="5B715DFE"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272FC09A"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6DFC99ED"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0EAA0BF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statistical interventions</w:t>
            </w:r>
          </w:p>
        </w:tc>
        <w:tc>
          <w:tcPr>
            <w:tcW w:w="1951" w:type="dxa"/>
            <w:tcMar>
              <w:left w:w="70" w:type="dxa"/>
              <w:right w:w="70" w:type="dxa"/>
            </w:tcMar>
            <w:vAlign w:val="bottom"/>
          </w:tcPr>
          <w:p w14:paraId="2C99C7B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p-value calibration</w:t>
            </w:r>
          </w:p>
        </w:tc>
        <w:tc>
          <w:tcPr>
            <w:tcW w:w="1082" w:type="dxa"/>
            <w:tcMar>
              <w:left w:w="70" w:type="dxa"/>
              <w:right w:w="70" w:type="dxa"/>
            </w:tcMar>
            <w:vAlign w:val="bottom"/>
          </w:tcPr>
          <w:p w14:paraId="229082A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Gruber (2016; 2 studies)</w:t>
            </w:r>
          </w:p>
        </w:tc>
      </w:tr>
      <w:tr w:rsidR="00E63726" w:rsidRPr="005A0FC6" w14:paraId="4FEC832B" w14:textId="77777777" w:rsidTr="00555A56">
        <w:trPr>
          <w:trHeight w:val="195"/>
        </w:trPr>
        <w:tc>
          <w:tcPr>
            <w:tcW w:w="1271" w:type="dxa"/>
            <w:vMerge/>
            <w:vAlign w:val="center"/>
          </w:tcPr>
          <w:p w14:paraId="78F78214" w14:textId="77777777" w:rsidR="00E63726" w:rsidRPr="005A0FC6" w:rsidRDefault="00E63726" w:rsidP="00555A56">
            <w:pPr>
              <w:rPr>
                <w:rFonts w:ascii="Times New Roman" w:hAnsi="Times New Roman" w:cs="Times New Roman"/>
                <w:sz w:val="18"/>
                <w:szCs w:val="18"/>
              </w:rPr>
            </w:pPr>
          </w:p>
        </w:tc>
        <w:tc>
          <w:tcPr>
            <w:tcW w:w="2835" w:type="dxa"/>
            <w:tcMar>
              <w:left w:w="70" w:type="dxa"/>
              <w:right w:w="70" w:type="dxa"/>
            </w:tcMar>
            <w:vAlign w:val="center"/>
          </w:tcPr>
          <w:p w14:paraId="4A463F50"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Collaborative research</w:t>
            </w:r>
          </w:p>
        </w:tc>
        <w:tc>
          <w:tcPr>
            <w:tcW w:w="524" w:type="dxa"/>
            <w:tcMar>
              <w:left w:w="70" w:type="dxa"/>
              <w:right w:w="70" w:type="dxa"/>
            </w:tcMar>
            <w:vAlign w:val="bottom"/>
          </w:tcPr>
          <w:p w14:paraId="03F7B842"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1</w:t>
            </w:r>
          </w:p>
        </w:tc>
        <w:tc>
          <w:tcPr>
            <w:tcW w:w="1405" w:type="dxa"/>
            <w:tcMar>
              <w:left w:w="70" w:type="dxa"/>
              <w:right w:w="70" w:type="dxa"/>
            </w:tcMar>
            <w:vAlign w:val="bottom"/>
          </w:tcPr>
          <w:p w14:paraId="5164676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standardization</w:t>
            </w:r>
          </w:p>
        </w:tc>
        <w:tc>
          <w:tcPr>
            <w:tcW w:w="1951" w:type="dxa"/>
            <w:tcMar>
              <w:left w:w="70" w:type="dxa"/>
              <w:right w:w="70" w:type="dxa"/>
            </w:tcMar>
            <w:vAlign w:val="bottom"/>
          </w:tcPr>
          <w:p w14:paraId="13E0F4A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building a (training) community</w:t>
            </w:r>
          </w:p>
        </w:tc>
        <w:tc>
          <w:tcPr>
            <w:tcW w:w="1082" w:type="dxa"/>
            <w:tcMar>
              <w:left w:w="70" w:type="dxa"/>
              <w:right w:w="70" w:type="dxa"/>
            </w:tcMar>
            <w:vAlign w:val="bottom"/>
          </w:tcPr>
          <w:p w14:paraId="381670A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Riedel (2022)</w:t>
            </w:r>
          </w:p>
        </w:tc>
      </w:tr>
      <w:tr w:rsidR="00E63726" w:rsidRPr="005A0FC6" w14:paraId="51A849FB" w14:textId="77777777" w:rsidTr="00555A56">
        <w:trPr>
          <w:trHeight w:val="195"/>
        </w:trPr>
        <w:tc>
          <w:tcPr>
            <w:tcW w:w="1271" w:type="dxa"/>
            <w:vMerge/>
            <w:vAlign w:val="center"/>
          </w:tcPr>
          <w:p w14:paraId="3F70F3EB" w14:textId="77777777" w:rsidR="00E63726" w:rsidRPr="005A0FC6" w:rsidRDefault="00E63726" w:rsidP="00555A56">
            <w:pPr>
              <w:rPr>
                <w:rFonts w:ascii="Times New Roman" w:hAnsi="Times New Roman" w:cs="Times New Roman"/>
                <w:sz w:val="18"/>
                <w:szCs w:val="18"/>
              </w:rPr>
            </w:pPr>
          </w:p>
        </w:tc>
        <w:tc>
          <w:tcPr>
            <w:tcW w:w="2835" w:type="dxa"/>
            <w:vMerge w:val="restart"/>
            <w:tcMar>
              <w:left w:w="70" w:type="dxa"/>
              <w:right w:w="70" w:type="dxa"/>
            </w:tcMar>
          </w:tcPr>
          <w:p w14:paraId="6B4A5C67"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Other</w:t>
            </w:r>
          </w:p>
        </w:tc>
        <w:tc>
          <w:tcPr>
            <w:tcW w:w="524" w:type="dxa"/>
            <w:vMerge w:val="restart"/>
            <w:tcMar>
              <w:left w:w="70" w:type="dxa"/>
              <w:right w:w="70" w:type="dxa"/>
            </w:tcMar>
          </w:tcPr>
          <w:p w14:paraId="1EC7DA0D"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5</w:t>
            </w:r>
          </w:p>
        </w:tc>
        <w:tc>
          <w:tcPr>
            <w:tcW w:w="1405" w:type="dxa"/>
            <w:tcMar>
              <w:left w:w="70" w:type="dxa"/>
              <w:right w:w="70" w:type="dxa"/>
            </w:tcMar>
            <w:vAlign w:val="bottom"/>
          </w:tcPr>
          <w:p w14:paraId="7404D74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reporting guidelines</w:t>
            </w:r>
          </w:p>
        </w:tc>
        <w:tc>
          <w:tcPr>
            <w:tcW w:w="1951" w:type="dxa"/>
            <w:tcMar>
              <w:left w:w="70" w:type="dxa"/>
              <w:right w:w="70" w:type="dxa"/>
            </w:tcMar>
            <w:vAlign w:val="bottom"/>
          </w:tcPr>
          <w:p w14:paraId="78C46FB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editor checks reporting</w:t>
            </w:r>
          </w:p>
        </w:tc>
        <w:tc>
          <w:tcPr>
            <w:tcW w:w="1082" w:type="dxa"/>
            <w:tcMar>
              <w:left w:w="70" w:type="dxa"/>
              <w:right w:w="70" w:type="dxa"/>
            </w:tcMar>
            <w:vAlign w:val="bottom"/>
          </w:tcPr>
          <w:p w14:paraId="22FFFD6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Blanco (2020)</w:t>
            </w:r>
          </w:p>
        </w:tc>
      </w:tr>
      <w:tr w:rsidR="00E63726" w:rsidRPr="005A0FC6" w14:paraId="0481AD47" w14:textId="77777777" w:rsidTr="00555A56">
        <w:trPr>
          <w:trHeight w:val="195"/>
        </w:trPr>
        <w:tc>
          <w:tcPr>
            <w:tcW w:w="1271" w:type="dxa"/>
            <w:vMerge/>
            <w:vAlign w:val="center"/>
          </w:tcPr>
          <w:p w14:paraId="402AF08F"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4A5B77A3"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32099251"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343EE8B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reporting guidelines</w:t>
            </w:r>
          </w:p>
        </w:tc>
        <w:tc>
          <w:tcPr>
            <w:tcW w:w="1951" w:type="dxa"/>
            <w:tcMar>
              <w:left w:w="70" w:type="dxa"/>
              <w:right w:w="70" w:type="dxa"/>
            </w:tcMar>
            <w:vAlign w:val="bottom"/>
          </w:tcPr>
          <w:p w14:paraId="6C71C22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peer review checks reporting</w:t>
            </w:r>
          </w:p>
        </w:tc>
        <w:tc>
          <w:tcPr>
            <w:tcW w:w="1082" w:type="dxa"/>
            <w:tcMar>
              <w:left w:w="70" w:type="dxa"/>
              <w:right w:w="70" w:type="dxa"/>
            </w:tcMar>
            <w:vAlign w:val="bottom"/>
          </w:tcPr>
          <w:p w14:paraId="6331B1D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Cobo (2011)</w:t>
            </w:r>
          </w:p>
        </w:tc>
      </w:tr>
      <w:tr w:rsidR="00E63726" w:rsidRPr="005A0FC6" w14:paraId="629D9284" w14:textId="77777777" w:rsidTr="00555A56">
        <w:trPr>
          <w:trHeight w:val="195"/>
        </w:trPr>
        <w:tc>
          <w:tcPr>
            <w:tcW w:w="1271" w:type="dxa"/>
            <w:vMerge/>
            <w:vAlign w:val="center"/>
          </w:tcPr>
          <w:p w14:paraId="7DE13A88"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448F6705"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4C700F25"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0201E09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reporting guidelines</w:t>
            </w:r>
          </w:p>
        </w:tc>
        <w:tc>
          <w:tcPr>
            <w:tcW w:w="1951" w:type="dxa"/>
            <w:tcMar>
              <w:left w:w="70" w:type="dxa"/>
              <w:right w:w="70" w:type="dxa"/>
            </w:tcMar>
            <w:vAlign w:val="bottom"/>
          </w:tcPr>
          <w:p w14:paraId="1D12257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reminders for peer-reviewers</w:t>
            </w:r>
          </w:p>
        </w:tc>
        <w:tc>
          <w:tcPr>
            <w:tcW w:w="1082" w:type="dxa"/>
            <w:tcMar>
              <w:left w:w="70" w:type="dxa"/>
              <w:right w:w="70" w:type="dxa"/>
            </w:tcMar>
            <w:vAlign w:val="bottom"/>
          </w:tcPr>
          <w:p w14:paraId="5C346F4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Speich (2023)</w:t>
            </w:r>
          </w:p>
        </w:tc>
      </w:tr>
      <w:tr w:rsidR="00E63726" w:rsidRPr="005A0FC6" w14:paraId="47140989" w14:textId="77777777" w:rsidTr="00555A56">
        <w:trPr>
          <w:trHeight w:val="195"/>
        </w:trPr>
        <w:tc>
          <w:tcPr>
            <w:tcW w:w="1271" w:type="dxa"/>
            <w:vMerge/>
            <w:vAlign w:val="center"/>
          </w:tcPr>
          <w:p w14:paraId="520AB3BC"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7F9E0EB5"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6DA726AB"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4083642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open science</w:t>
            </w:r>
          </w:p>
        </w:tc>
        <w:tc>
          <w:tcPr>
            <w:tcW w:w="1951" w:type="dxa"/>
            <w:tcMar>
              <w:left w:w="70" w:type="dxa"/>
              <w:right w:w="70" w:type="dxa"/>
            </w:tcMar>
            <w:vAlign w:val="bottom"/>
          </w:tcPr>
          <w:p w14:paraId="0BA5497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role model in open science</w:t>
            </w:r>
          </w:p>
        </w:tc>
        <w:tc>
          <w:tcPr>
            <w:tcW w:w="1082" w:type="dxa"/>
            <w:tcMar>
              <w:left w:w="70" w:type="dxa"/>
              <w:right w:w="70" w:type="dxa"/>
            </w:tcMar>
            <w:vAlign w:val="bottom"/>
          </w:tcPr>
          <w:p w14:paraId="5F0111C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Haven (2023)</w:t>
            </w:r>
          </w:p>
        </w:tc>
      </w:tr>
      <w:tr w:rsidR="00E63726" w:rsidRPr="005A0FC6" w14:paraId="3B20D785" w14:textId="77777777" w:rsidTr="00555A56">
        <w:trPr>
          <w:trHeight w:val="195"/>
        </w:trPr>
        <w:tc>
          <w:tcPr>
            <w:tcW w:w="1271" w:type="dxa"/>
            <w:vMerge/>
            <w:vAlign w:val="center"/>
          </w:tcPr>
          <w:p w14:paraId="66BEAB7A" w14:textId="77777777" w:rsidR="00E63726" w:rsidRPr="005A0FC6" w:rsidRDefault="00E63726" w:rsidP="00555A56">
            <w:pPr>
              <w:rPr>
                <w:rFonts w:ascii="Times New Roman" w:hAnsi="Times New Roman" w:cs="Times New Roman"/>
                <w:sz w:val="18"/>
                <w:szCs w:val="18"/>
              </w:rPr>
            </w:pPr>
          </w:p>
        </w:tc>
        <w:tc>
          <w:tcPr>
            <w:tcW w:w="2835" w:type="dxa"/>
            <w:vMerge/>
            <w:vAlign w:val="center"/>
          </w:tcPr>
          <w:p w14:paraId="3BC557F0" w14:textId="77777777" w:rsidR="00E63726" w:rsidRPr="005A0FC6" w:rsidRDefault="00E63726" w:rsidP="00555A56">
            <w:pPr>
              <w:rPr>
                <w:rFonts w:ascii="Times New Roman" w:hAnsi="Times New Roman" w:cs="Times New Roman"/>
                <w:sz w:val="18"/>
                <w:szCs w:val="18"/>
              </w:rPr>
            </w:pPr>
          </w:p>
        </w:tc>
        <w:tc>
          <w:tcPr>
            <w:tcW w:w="524" w:type="dxa"/>
            <w:vMerge/>
            <w:vAlign w:val="center"/>
          </w:tcPr>
          <w:p w14:paraId="1CCB6C41" w14:textId="77777777" w:rsidR="00E63726" w:rsidRPr="005A0FC6" w:rsidRDefault="00E63726" w:rsidP="00555A56">
            <w:pPr>
              <w:rPr>
                <w:rFonts w:ascii="Times New Roman" w:hAnsi="Times New Roman" w:cs="Times New Roman"/>
                <w:sz w:val="18"/>
                <w:szCs w:val="18"/>
              </w:rPr>
            </w:pPr>
          </w:p>
        </w:tc>
        <w:tc>
          <w:tcPr>
            <w:tcW w:w="1405" w:type="dxa"/>
            <w:tcMar>
              <w:left w:w="70" w:type="dxa"/>
              <w:right w:w="70" w:type="dxa"/>
            </w:tcMar>
            <w:vAlign w:val="bottom"/>
          </w:tcPr>
          <w:p w14:paraId="4304B9D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statistical interventions</w:t>
            </w:r>
          </w:p>
        </w:tc>
        <w:tc>
          <w:tcPr>
            <w:tcW w:w="1951" w:type="dxa"/>
            <w:tcMar>
              <w:left w:w="70" w:type="dxa"/>
              <w:right w:w="70" w:type="dxa"/>
            </w:tcMar>
            <w:vAlign w:val="bottom"/>
          </w:tcPr>
          <w:p w14:paraId="2759C70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statistical approach</w:t>
            </w:r>
          </w:p>
        </w:tc>
        <w:tc>
          <w:tcPr>
            <w:tcW w:w="1082" w:type="dxa"/>
            <w:tcMar>
              <w:left w:w="70" w:type="dxa"/>
              <w:right w:w="70" w:type="dxa"/>
            </w:tcMar>
            <w:vAlign w:val="bottom"/>
          </w:tcPr>
          <w:p w14:paraId="3A35C05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Jaljuli (2023)</w:t>
            </w:r>
          </w:p>
        </w:tc>
      </w:tr>
      <w:tr w:rsidR="00E63726" w:rsidRPr="005A0FC6" w14:paraId="0A540588" w14:textId="77777777" w:rsidTr="00555A56">
        <w:trPr>
          <w:trHeight w:val="195"/>
        </w:trPr>
        <w:tc>
          <w:tcPr>
            <w:tcW w:w="1271" w:type="dxa"/>
            <w:tcMar>
              <w:left w:w="70" w:type="dxa"/>
              <w:right w:w="70" w:type="dxa"/>
            </w:tcMar>
            <w:vAlign w:val="bottom"/>
          </w:tcPr>
          <w:p w14:paraId="75F8E43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2835" w:type="dxa"/>
            <w:tcMar>
              <w:left w:w="70" w:type="dxa"/>
              <w:right w:w="70" w:type="dxa"/>
            </w:tcMar>
            <w:vAlign w:val="bottom"/>
          </w:tcPr>
          <w:p w14:paraId="68578564"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Total:</w:t>
            </w:r>
          </w:p>
        </w:tc>
        <w:tc>
          <w:tcPr>
            <w:tcW w:w="524" w:type="dxa"/>
            <w:tcMar>
              <w:left w:w="70" w:type="dxa"/>
              <w:right w:w="70" w:type="dxa"/>
            </w:tcMar>
            <w:vAlign w:val="bottom"/>
          </w:tcPr>
          <w:p w14:paraId="00A539C1"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104</w:t>
            </w:r>
          </w:p>
        </w:tc>
        <w:tc>
          <w:tcPr>
            <w:tcW w:w="1405" w:type="dxa"/>
            <w:tcMar>
              <w:left w:w="70" w:type="dxa"/>
              <w:right w:w="70" w:type="dxa"/>
            </w:tcMar>
            <w:vAlign w:val="bottom"/>
          </w:tcPr>
          <w:p w14:paraId="5DA54E3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951" w:type="dxa"/>
            <w:tcMar>
              <w:left w:w="70" w:type="dxa"/>
              <w:right w:w="70" w:type="dxa"/>
            </w:tcMar>
            <w:vAlign w:val="bottom"/>
          </w:tcPr>
          <w:p w14:paraId="29B6A186" w14:textId="77777777" w:rsidR="00E63726" w:rsidRPr="005A0FC6" w:rsidRDefault="00E63726" w:rsidP="00555A56">
            <w:pPr>
              <w:jc w:val="right"/>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Total:</w:t>
            </w:r>
          </w:p>
        </w:tc>
        <w:tc>
          <w:tcPr>
            <w:tcW w:w="1082" w:type="dxa"/>
            <w:tcMar>
              <w:left w:w="70" w:type="dxa"/>
              <w:right w:w="70" w:type="dxa"/>
            </w:tcMar>
            <w:vAlign w:val="bottom"/>
          </w:tcPr>
          <w:p w14:paraId="5E5F5530"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bl>
    <w:p w14:paraId="5464E5E2" w14:textId="77777777" w:rsidR="00E63726" w:rsidRDefault="00E63726" w:rsidP="00E63726">
      <w:pPr>
        <w:spacing w:line="257" w:lineRule="auto"/>
      </w:pPr>
      <w:r w:rsidRPr="7C5BD209">
        <w:rPr>
          <w:rFonts w:ascii="Calibri" w:eastAsia="Calibri" w:hAnsi="Calibri" w:cs="Calibri"/>
        </w:rPr>
        <w:t xml:space="preserve"> </w:t>
      </w:r>
    </w:p>
    <w:p w14:paraId="3DD3E0C6" w14:textId="77777777" w:rsidR="00E63726" w:rsidRDefault="00E63726" w:rsidP="00E63726">
      <w:pPr>
        <w:spacing w:after="0" w:line="257" w:lineRule="auto"/>
      </w:pPr>
    </w:p>
    <w:p w14:paraId="0462E553" w14:textId="77777777" w:rsidR="00E63726" w:rsidRDefault="00E63726" w:rsidP="00E63726">
      <w:pPr>
        <w:spacing w:line="257" w:lineRule="auto"/>
      </w:pPr>
      <w:r w:rsidRPr="7C5BD209">
        <w:rPr>
          <w:rFonts w:ascii="Calibri" w:eastAsia="Calibri" w:hAnsi="Calibri" w:cs="Calibri"/>
        </w:rPr>
        <w:t xml:space="preserve"> </w:t>
      </w:r>
    </w:p>
    <w:p w14:paraId="61044903" w14:textId="77777777" w:rsidR="00E63726" w:rsidRDefault="00E63726" w:rsidP="00E63726">
      <w:r>
        <w:br w:type="page"/>
      </w:r>
    </w:p>
    <w:p w14:paraId="7C71EA34" w14:textId="77777777" w:rsidR="00E63726" w:rsidRDefault="00E63726" w:rsidP="00E63726">
      <w:pPr>
        <w:pStyle w:val="Kop1"/>
        <w:spacing w:line="257" w:lineRule="auto"/>
      </w:pPr>
      <w:r w:rsidRPr="7C5BD209">
        <w:rPr>
          <w:rFonts w:ascii="Calibri Light" w:eastAsia="Calibri Light" w:hAnsi="Calibri Light" w:cs="Calibri Light"/>
          <w:lang w:val="en-GB"/>
        </w:rPr>
        <w:lastRenderedPageBreak/>
        <w:t>5.List of Outcomes</w:t>
      </w:r>
    </w:p>
    <w:p w14:paraId="3932BF3B" w14:textId="77777777" w:rsidR="00E63726" w:rsidRDefault="00E63726" w:rsidP="00E63726">
      <w:pPr>
        <w:spacing w:line="257" w:lineRule="auto"/>
      </w:pPr>
      <w:r w:rsidRPr="7C5BD209">
        <w:rPr>
          <w:rFonts w:ascii="Calibri" w:eastAsia="Calibri" w:hAnsi="Calibri" w:cs="Calibri"/>
        </w:rPr>
        <w:t xml:space="preserve"> </w:t>
      </w:r>
    </w:p>
    <w:p w14:paraId="6ADF1B77" w14:textId="77777777" w:rsidR="00E63726" w:rsidRDefault="00E63726" w:rsidP="00E63726">
      <w:pPr>
        <w:pStyle w:val="Kop2"/>
        <w:spacing w:line="257" w:lineRule="auto"/>
      </w:pPr>
      <w:r w:rsidRPr="7C5BD209">
        <w:rPr>
          <w:rFonts w:ascii="Calibri Light" w:eastAsia="Calibri Light" w:hAnsi="Calibri Light" w:cs="Calibri Light"/>
        </w:rPr>
        <w:t>5a.Direct outcomes</w:t>
      </w:r>
    </w:p>
    <w:tbl>
      <w:tblPr>
        <w:tblStyle w:val="Tabelraster"/>
        <w:tblW w:w="0" w:type="auto"/>
        <w:tblLayout w:type="fixed"/>
        <w:tblLook w:val="04A0" w:firstRow="1" w:lastRow="0" w:firstColumn="1" w:lastColumn="0" w:noHBand="0" w:noVBand="1"/>
      </w:tblPr>
      <w:tblGrid>
        <w:gridCol w:w="1157"/>
        <w:gridCol w:w="2230"/>
        <w:gridCol w:w="213"/>
        <w:gridCol w:w="1915"/>
        <w:gridCol w:w="1183"/>
        <w:gridCol w:w="2317"/>
      </w:tblGrid>
      <w:tr w:rsidR="00E63726" w:rsidRPr="005A0FC6" w14:paraId="73723977" w14:textId="77777777" w:rsidTr="00555A56">
        <w:trPr>
          <w:trHeight w:val="360"/>
        </w:trPr>
        <w:tc>
          <w:tcPr>
            <w:tcW w:w="1157" w:type="dxa"/>
            <w:tcMar>
              <w:left w:w="70" w:type="dxa"/>
              <w:right w:w="70" w:type="dxa"/>
            </w:tcMar>
          </w:tcPr>
          <w:p w14:paraId="0C2D86B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b/>
                <w:bCs/>
                <w:color w:val="000000" w:themeColor="text1"/>
                <w:sz w:val="18"/>
                <w:szCs w:val="18"/>
              </w:rPr>
              <w:t>Outcomes class</w:t>
            </w:r>
            <w:r w:rsidRPr="005A0FC6">
              <w:rPr>
                <w:rFonts w:ascii="Times New Roman" w:hAnsi="Times New Roman" w:cs="Times New Roman"/>
                <w:sz w:val="18"/>
                <w:szCs w:val="18"/>
              </w:rPr>
              <w:br/>
            </w:r>
            <w:r w:rsidRPr="005A0FC6">
              <w:rPr>
                <w:rFonts w:ascii="Times New Roman" w:eastAsia="Times New Roman" w:hAnsi="Times New Roman" w:cs="Times New Roman"/>
                <w:b/>
                <w:bCs/>
                <w:color w:val="000000" w:themeColor="text1"/>
                <w:sz w:val="18"/>
                <w:szCs w:val="18"/>
              </w:rPr>
              <w:t xml:space="preserve"> </w:t>
            </w:r>
            <w:r w:rsidRPr="005A0FC6">
              <w:rPr>
                <w:rFonts w:ascii="Times New Roman" w:eastAsia="Times New Roman" w:hAnsi="Times New Roman" w:cs="Times New Roman"/>
                <w:color w:val="000000" w:themeColor="text1"/>
                <w:sz w:val="18"/>
                <w:szCs w:val="18"/>
              </w:rPr>
              <w:t>(Additional variable)</w:t>
            </w:r>
          </w:p>
        </w:tc>
        <w:tc>
          <w:tcPr>
            <w:tcW w:w="2230" w:type="dxa"/>
            <w:tcMar>
              <w:left w:w="70" w:type="dxa"/>
              <w:right w:w="70" w:type="dxa"/>
            </w:tcMar>
          </w:tcPr>
          <w:p w14:paraId="4994DB7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b/>
                <w:bCs/>
                <w:color w:val="000000" w:themeColor="text1"/>
                <w:sz w:val="18"/>
                <w:szCs w:val="18"/>
              </w:rPr>
              <w:t>Outcomes subclass</w:t>
            </w:r>
            <w:r w:rsidRPr="005A0FC6">
              <w:rPr>
                <w:rFonts w:ascii="Times New Roman" w:hAnsi="Times New Roman" w:cs="Times New Roman"/>
                <w:sz w:val="18"/>
                <w:szCs w:val="18"/>
                <w:lang w:val="en-US"/>
              </w:rPr>
              <w:br/>
            </w:r>
            <w:r w:rsidRPr="005A0FC6">
              <w:rPr>
                <w:rFonts w:ascii="Times New Roman" w:eastAsia="Times New Roman" w:hAnsi="Times New Roman" w:cs="Times New Roman"/>
                <w:b/>
                <w:bCs/>
                <w:color w:val="000000" w:themeColor="text1"/>
                <w:sz w:val="18"/>
                <w:szCs w:val="18"/>
              </w:rPr>
              <w:t xml:space="preserve"> </w:t>
            </w:r>
            <w:r w:rsidRPr="005A0FC6">
              <w:rPr>
                <w:rFonts w:ascii="Times New Roman" w:eastAsia="Times New Roman" w:hAnsi="Times New Roman" w:cs="Times New Roman"/>
                <w:color w:val="000000" w:themeColor="text1"/>
                <w:sz w:val="18"/>
                <w:szCs w:val="18"/>
              </w:rPr>
              <w:t>(as per data-extraction sheet)</w:t>
            </w:r>
          </w:p>
        </w:tc>
        <w:tc>
          <w:tcPr>
            <w:tcW w:w="213" w:type="dxa"/>
            <w:tcMar>
              <w:left w:w="70" w:type="dxa"/>
              <w:right w:w="70" w:type="dxa"/>
            </w:tcMar>
          </w:tcPr>
          <w:p w14:paraId="6EB5242C" w14:textId="77777777" w:rsidR="00E63726" w:rsidRPr="005A0FC6" w:rsidRDefault="00E63726" w:rsidP="00555A56">
            <w:pPr>
              <w:rPr>
                <w:rFonts w:ascii="Times New Roman" w:eastAsia="Times New Roman" w:hAnsi="Times New Roman" w:cs="Times New Roman"/>
                <w:b/>
                <w:bCs/>
                <w:color w:val="000000" w:themeColor="text1"/>
                <w:sz w:val="18"/>
                <w:szCs w:val="18"/>
              </w:rPr>
            </w:pPr>
            <w:r w:rsidRPr="005A0FC6">
              <w:rPr>
                <w:rFonts w:ascii="Times New Roman" w:eastAsia="Times New Roman" w:hAnsi="Times New Roman" w:cs="Times New Roman"/>
                <w:b/>
                <w:bCs/>
                <w:color w:val="000000" w:themeColor="text1"/>
                <w:sz w:val="18"/>
                <w:szCs w:val="18"/>
              </w:rPr>
              <w:t>n</w:t>
            </w:r>
          </w:p>
        </w:tc>
        <w:tc>
          <w:tcPr>
            <w:tcW w:w="1915" w:type="dxa"/>
            <w:tcMar>
              <w:left w:w="70" w:type="dxa"/>
              <w:right w:w="70" w:type="dxa"/>
            </w:tcMar>
          </w:tcPr>
          <w:p w14:paraId="36399D0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b/>
                <w:bCs/>
                <w:color w:val="000000" w:themeColor="text1"/>
                <w:sz w:val="18"/>
                <w:szCs w:val="18"/>
              </w:rPr>
              <w:t>Outcomes subclass</w:t>
            </w:r>
            <w:r w:rsidRPr="005A0FC6">
              <w:rPr>
                <w:rFonts w:ascii="Times New Roman" w:hAnsi="Times New Roman" w:cs="Times New Roman"/>
                <w:sz w:val="18"/>
                <w:szCs w:val="18"/>
                <w:lang w:val="en-US"/>
              </w:rPr>
              <w:br/>
            </w:r>
            <w:r w:rsidRPr="005A0FC6">
              <w:rPr>
                <w:rFonts w:ascii="Times New Roman" w:eastAsia="Times New Roman" w:hAnsi="Times New Roman" w:cs="Times New Roman"/>
                <w:b/>
                <w:bCs/>
                <w:color w:val="000000" w:themeColor="text1"/>
                <w:sz w:val="18"/>
                <w:szCs w:val="18"/>
              </w:rPr>
              <w:t xml:space="preserve"> </w:t>
            </w:r>
            <w:r w:rsidRPr="005A0FC6">
              <w:rPr>
                <w:rFonts w:ascii="Times New Roman" w:eastAsia="Times New Roman" w:hAnsi="Times New Roman" w:cs="Times New Roman"/>
                <w:color w:val="000000" w:themeColor="text1"/>
                <w:sz w:val="18"/>
                <w:szCs w:val="18"/>
              </w:rPr>
              <w:t>(modified for analysis purposes)</w:t>
            </w:r>
          </w:p>
        </w:tc>
        <w:tc>
          <w:tcPr>
            <w:tcW w:w="1183" w:type="dxa"/>
            <w:tcMar>
              <w:left w:w="70" w:type="dxa"/>
              <w:right w:w="70" w:type="dxa"/>
            </w:tcMar>
          </w:tcPr>
          <w:p w14:paraId="5B4AD94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b/>
                <w:bCs/>
                <w:color w:val="000000" w:themeColor="text1"/>
                <w:sz w:val="18"/>
                <w:szCs w:val="18"/>
              </w:rPr>
              <w:t>Exact outcomes</w:t>
            </w:r>
            <w:r w:rsidRPr="005A0FC6">
              <w:rPr>
                <w:rFonts w:ascii="Times New Roman" w:hAnsi="Times New Roman" w:cs="Times New Roman"/>
                <w:sz w:val="18"/>
                <w:szCs w:val="18"/>
              </w:rPr>
              <w:br/>
            </w:r>
            <w:r w:rsidRPr="005A0FC6">
              <w:rPr>
                <w:rFonts w:ascii="Times New Roman" w:eastAsia="Times New Roman" w:hAnsi="Times New Roman" w:cs="Times New Roman"/>
                <w:b/>
                <w:bCs/>
                <w:color w:val="000000" w:themeColor="text1"/>
                <w:sz w:val="18"/>
                <w:szCs w:val="18"/>
              </w:rPr>
              <w:t xml:space="preserve"> </w:t>
            </w:r>
            <w:r w:rsidRPr="005A0FC6">
              <w:rPr>
                <w:rFonts w:ascii="Times New Roman" w:eastAsia="Times New Roman" w:hAnsi="Times New Roman" w:cs="Times New Roman"/>
                <w:color w:val="000000" w:themeColor="text1"/>
                <w:sz w:val="18"/>
                <w:szCs w:val="18"/>
              </w:rPr>
              <w:t>(more details)</w:t>
            </w:r>
          </w:p>
        </w:tc>
        <w:tc>
          <w:tcPr>
            <w:tcW w:w="2317" w:type="dxa"/>
            <w:tcMar>
              <w:left w:w="70" w:type="dxa"/>
              <w:right w:w="70" w:type="dxa"/>
            </w:tcMar>
          </w:tcPr>
          <w:p w14:paraId="617F808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b/>
                <w:bCs/>
                <w:color w:val="000000" w:themeColor="text1"/>
                <w:sz w:val="18"/>
                <w:szCs w:val="18"/>
              </w:rPr>
              <w:t>References</w:t>
            </w:r>
            <w:r w:rsidRPr="005A0FC6">
              <w:rPr>
                <w:rFonts w:ascii="Times New Roman" w:hAnsi="Times New Roman" w:cs="Times New Roman"/>
                <w:sz w:val="18"/>
                <w:szCs w:val="18"/>
              </w:rPr>
              <w:br/>
            </w:r>
            <w:r w:rsidRPr="005A0FC6">
              <w:rPr>
                <w:rFonts w:ascii="Times New Roman" w:eastAsia="Times New Roman" w:hAnsi="Times New Roman" w:cs="Times New Roman"/>
                <w:b/>
                <w:bCs/>
                <w:color w:val="000000" w:themeColor="text1"/>
                <w:sz w:val="18"/>
                <w:szCs w:val="18"/>
              </w:rPr>
              <w:t xml:space="preserve"> </w:t>
            </w:r>
            <w:r w:rsidRPr="005A0FC6">
              <w:rPr>
                <w:rFonts w:ascii="Times New Roman" w:eastAsia="Times New Roman" w:hAnsi="Times New Roman" w:cs="Times New Roman"/>
                <w:color w:val="000000" w:themeColor="text1"/>
                <w:sz w:val="18"/>
                <w:szCs w:val="18"/>
              </w:rPr>
              <w:t>(First author (year))</w:t>
            </w:r>
          </w:p>
        </w:tc>
      </w:tr>
      <w:tr w:rsidR="00E63726" w:rsidRPr="005A0FC6" w14:paraId="08E5F001" w14:textId="77777777" w:rsidTr="00555A56">
        <w:trPr>
          <w:trHeight w:val="180"/>
        </w:trPr>
        <w:tc>
          <w:tcPr>
            <w:tcW w:w="1157" w:type="dxa"/>
            <w:vMerge w:val="restart"/>
            <w:tcMar>
              <w:left w:w="70" w:type="dxa"/>
              <w:right w:w="70" w:type="dxa"/>
            </w:tcMar>
          </w:tcPr>
          <w:p w14:paraId="0013918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Reproducibility</w:t>
            </w:r>
          </w:p>
        </w:tc>
        <w:tc>
          <w:tcPr>
            <w:tcW w:w="2230" w:type="dxa"/>
            <w:tcMar>
              <w:left w:w="70" w:type="dxa"/>
              <w:right w:w="70" w:type="dxa"/>
            </w:tcMar>
          </w:tcPr>
          <w:p w14:paraId="09C3A9DD"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Inferential reproducibility</w:t>
            </w:r>
          </w:p>
        </w:tc>
        <w:tc>
          <w:tcPr>
            <w:tcW w:w="213" w:type="dxa"/>
            <w:tcMar>
              <w:left w:w="70" w:type="dxa"/>
              <w:right w:w="70" w:type="dxa"/>
            </w:tcMar>
          </w:tcPr>
          <w:p w14:paraId="32583C6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1</w:t>
            </w:r>
          </w:p>
        </w:tc>
        <w:tc>
          <w:tcPr>
            <w:tcW w:w="1915" w:type="dxa"/>
            <w:tcMar>
              <w:left w:w="70" w:type="dxa"/>
              <w:right w:w="70" w:type="dxa"/>
            </w:tcMar>
          </w:tcPr>
          <w:p w14:paraId="7E114C7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Inferential reproducibility</w:t>
            </w:r>
          </w:p>
        </w:tc>
        <w:tc>
          <w:tcPr>
            <w:tcW w:w="1183" w:type="dxa"/>
            <w:tcMar>
              <w:left w:w="70" w:type="dxa"/>
              <w:right w:w="70" w:type="dxa"/>
            </w:tcMar>
          </w:tcPr>
          <w:p w14:paraId="78AF6930"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inferential reproducibility</w:t>
            </w:r>
          </w:p>
        </w:tc>
        <w:tc>
          <w:tcPr>
            <w:tcW w:w="2317" w:type="dxa"/>
            <w:tcMar>
              <w:left w:w="70" w:type="dxa"/>
              <w:right w:w="70" w:type="dxa"/>
            </w:tcMar>
          </w:tcPr>
          <w:p w14:paraId="7C634F4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Bergeat (2022)</w:t>
            </w:r>
          </w:p>
        </w:tc>
      </w:tr>
      <w:tr w:rsidR="00E63726" w:rsidRPr="005A0FC6" w14:paraId="67371674" w14:textId="77777777" w:rsidTr="00555A56">
        <w:trPr>
          <w:trHeight w:val="180"/>
        </w:trPr>
        <w:tc>
          <w:tcPr>
            <w:tcW w:w="1157" w:type="dxa"/>
            <w:vMerge/>
            <w:vAlign w:val="center"/>
          </w:tcPr>
          <w:p w14:paraId="7834FE4C" w14:textId="77777777" w:rsidR="00E63726" w:rsidRPr="005A0FC6" w:rsidRDefault="00E63726" w:rsidP="00555A56">
            <w:pPr>
              <w:rPr>
                <w:rFonts w:ascii="Times New Roman" w:hAnsi="Times New Roman" w:cs="Times New Roman"/>
                <w:sz w:val="18"/>
                <w:szCs w:val="18"/>
              </w:rPr>
            </w:pPr>
          </w:p>
        </w:tc>
        <w:tc>
          <w:tcPr>
            <w:tcW w:w="2230" w:type="dxa"/>
            <w:vMerge w:val="restart"/>
            <w:tcMar>
              <w:left w:w="70" w:type="dxa"/>
              <w:right w:w="70" w:type="dxa"/>
            </w:tcMar>
          </w:tcPr>
          <w:p w14:paraId="240CA2B2"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Computational/Outcome/Result/Numerical/Statistical reproducibility</w:t>
            </w:r>
          </w:p>
        </w:tc>
        <w:tc>
          <w:tcPr>
            <w:tcW w:w="213" w:type="dxa"/>
            <w:tcMar>
              <w:left w:w="70" w:type="dxa"/>
              <w:right w:w="70" w:type="dxa"/>
            </w:tcMar>
          </w:tcPr>
          <w:p w14:paraId="13CA4E8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1</w:t>
            </w:r>
          </w:p>
        </w:tc>
        <w:tc>
          <w:tcPr>
            <w:tcW w:w="1915" w:type="dxa"/>
            <w:tcMar>
              <w:left w:w="70" w:type="dxa"/>
              <w:right w:w="70" w:type="dxa"/>
            </w:tcMar>
          </w:tcPr>
          <w:p w14:paraId="5333259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Results reproducibility</w:t>
            </w:r>
          </w:p>
        </w:tc>
        <w:tc>
          <w:tcPr>
            <w:tcW w:w="1183" w:type="dxa"/>
            <w:tcMar>
              <w:left w:w="70" w:type="dxa"/>
              <w:right w:w="70" w:type="dxa"/>
            </w:tcMar>
          </w:tcPr>
          <w:p w14:paraId="6C35496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code reproducibility</w:t>
            </w:r>
          </w:p>
        </w:tc>
        <w:tc>
          <w:tcPr>
            <w:tcW w:w="2317" w:type="dxa"/>
            <w:tcMar>
              <w:left w:w="70" w:type="dxa"/>
              <w:right w:w="70" w:type="dxa"/>
            </w:tcMar>
          </w:tcPr>
          <w:p w14:paraId="534DB57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Chan (2023)</w:t>
            </w:r>
          </w:p>
        </w:tc>
      </w:tr>
      <w:tr w:rsidR="00E63726" w:rsidRPr="005A0FC6" w14:paraId="191F569D" w14:textId="77777777" w:rsidTr="00555A56">
        <w:trPr>
          <w:trHeight w:val="360"/>
        </w:trPr>
        <w:tc>
          <w:tcPr>
            <w:tcW w:w="1157" w:type="dxa"/>
            <w:vMerge/>
            <w:vAlign w:val="center"/>
          </w:tcPr>
          <w:p w14:paraId="47654EE2" w14:textId="77777777" w:rsidR="00E63726" w:rsidRPr="005A0FC6" w:rsidRDefault="00E63726" w:rsidP="00555A56">
            <w:pPr>
              <w:rPr>
                <w:rFonts w:ascii="Times New Roman" w:hAnsi="Times New Roman" w:cs="Times New Roman"/>
                <w:sz w:val="18"/>
                <w:szCs w:val="18"/>
              </w:rPr>
            </w:pPr>
          </w:p>
        </w:tc>
        <w:tc>
          <w:tcPr>
            <w:tcW w:w="2230" w:type="dxa"/>
            <w:vMerge/>
            <w:vAlign w:val="center"/>
          </w:tcPr>
          <w:p w14:paraId="14901FC7" w14:textId="77777777" w:rsidR="00E63726" w:rsidRPr="005A0FC6" w:rsidRDefault="00E63726" w:rsidP="00555A56">
            <w:pPr>
              <w:rPr>
                <w:rFonts w:ascii="Times New Roman" w:hAnsi="Times New Roman" w:cs="Times New Roman"/>
                <w:sz w:val="18"/>
                <w:szCs w:val="18"/>
              </w:rPr>
            </w:pPr>
          </w:p>
        </w:tc>
        <w:tc>
          <w:tcPr>
            <w:tcW w:w="213" w:type="dxa"/>
            <w:tcMar>
              <w:left w:w="70" w:type="dxa"/>
              <w:right w:w="70" w:type="dxa"/>
            </w:tcMar>
          </w:tcPr>
          <w:p w14:paraId="781FC97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7</w:t>
            </w:r>
          </w:p>
        </w:tc>
        <w:tc>
          <w:tcPr>
            <w:tcW w:w="1915" w:type="dxa"/>
            <w:tcMar>
              <w:left w:w="70" w:type="dxa"/>
              <w:right w:w="70" w:type="dxa"/>
            </w:tcMar>
          </w:tcPr>
          <w:p w14:paraId="767FDE1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Results reproducibility</w:t>
            </w:r>
          </w:p>
        </w:tc>
        <w:tc>
          <w:tcPr>
            <w:tcW w:w="1183" w:type="dxa"/>
            <w:tcMar>
              <w:left w:w="70" w:type="dxa"/>
              <w:right w:w="70" w:type="dxa"/>
            </w:tcMar>
          </w:tcPr>
          <w:p w14:paraId="227759A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results reproducibility</w:t>
            </w:r>
          </w:p>
        </w:tc>
        <w:tc>
          <w:tcPr>
            <w:tcW w:w="2317" w:type="dxa"/>
            <w:tcMar>
              <w:left w:w="70" w:type="dxa"/>
              <w:right w:w="70" w:type="dxa"/>
            </w:tcMar>
          </w:tcPr>
          <w:p w14:paraId="57B6C13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Crüwell (2023), Hardwicke (2021), Laurinavichyute (2022), Madduri (2019), Naudet (2018), Obels (2020), Riedel (2022)</w:t>
            </w:r>
          </w:p>
        </w:tc>
      </w:tr>
      <w:tr w:rsidR="00E63726" w:rsidRPr="005A0FC6" w14:paraId="5269F4F4" w14:textId="77777777" w:rsidTr="00555A56">
        <w:trPr>
          <w:trHeight w:val="180"/>
        </w:trPr>
        <w:tc>
          <w:tcPr>
            <w:tcW w:w="1157" w:type="dxa"/>
            <w:vMerge/>
            <w:vAlign w:val="center"/>
          </w:tcPr>
          <w:p w14:paraId="624A93A2" w14:textId="77777777" w:rsidR="00E63726" w:rsidRPr="005A0FC6" w:rsidRDefault="00E63726" w:rsidP="00555A56">
            <w:pPr>
              <w:rPr>
                <w:rFonts w:ascii="Times New Roman" w:hAnsi="Times New Roman" w:cs="Times New Roman"/>
                <w:sz w:val="18"/>
                <w:szCs w:val="18"/>
              </w:rPr>
            </w:pPr>
          </w:p>
        </w:tc>
        <w:tc>
          <w:tcPr>
            <w:tcW w:w="2230" w:type="dxa"/>
            <w:tcMar>
              <w:left w:w="70" w:type="dxa"/>
              <w:right w:w="70" w:type="dxa"/>
            </w:tcMar>
          </w:tcPr>
          <w:p w14:paraId="620E9C72"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Method /methodological reproducibility</w:t>
            </w:r>
          </w:p>
        </w:tc>
        <w:tc>
          <w:tcPr>
            <w:tcW w:w="213" w:type="dxa"/>
            <w:tcMar>
              <w:left w:w="70" w:type="dxa"/>
              <w:right w:w="70" w:type="dxa"/>
            </w:tcMar>
          </w:tcPr>
          <w:p w14:paraId="65949F2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915" w:type="dxa"/>
            <w:tcMar>
              <w:left w:w="70" w:type="dxa"/>
              <w:right w:w="70" w:type="dxa"/>
            </w:tcMar>
          </w:tcPr>
          <w:p w14:paraId="11AA5790" w14:textId="77777777" w:rsidR="00E63726" w:rsidRPr="005A0FC6" w:rsidRDefault="00E63726" w:rsidP="00555A56">
            <w:pPr>
              <w:rPr>
                <w:rFonts w:ascii="Times New Roman" w:eastAsia="Times New Roman" w:hAnsi="Times New Roman" w:cs="Times New Roman"/>
                <w:sz w:val="18"/>
                <w:szCs w:val="18"/>
              </w:rPr>
            </w:pPr>
            <w:r w:rsidRPr="005A0FC6">
              <w:rPr>
                <w:rFonts w:ascii="Times New Roman" w:eastAsia="Times New Roman" w:hAnsi="Times New Roman" w:cs="Times New Roman"/>
                <w:sz w:val="18"/>
                <w:szCs w:val="18"/>
              </w:rPr>
              <w:t xml:space="preserve"> </w:t>
            </w:r>
          </w:p>
        </w:tc>
        <w:tc>
          <w:tcPr>
            <w:tcW w:w="1183" w:type="dxa"/>
            <w:tcMar>
              <w:left w:w="70" w:type="dxa"/>
              <w:right w:w="70" w:type="dxa"/>
            </w:tcMar>
          </w:tcPr>
          <w:p w14:paraId="4EEDF239" w14:textId="77777777" w:rsidR="00E63726" w:rsidRPr="005A0FC6" w:rsidRDefault="00E63726" w:rsidP="00555A56">
            <w:pPr>
              <w:rPr>
                <w:rFonts w:ascii="Times New Roman" w:eastAsia="Times New Roman" w:hAnsi="Times New Roman" w:cs="Times New Roman"/>
                <w:sz w:val="18"/>
                <w:szCs w:val="18"/>
              </w:rPr>
            </w:pPr>
            <w:r w:rsidRPr="005A0FC6">
              <w:rPr>
                <w:rFonts w:ascii="Times New Roman" w:eastAsia="Times New Roman" w:hAnsi="Times New Roman" w:cs="Times New Roman"/>
                <w:sz w:val="18"/>
                <w:szCs w:val="18"/>
              </w:rPr>
              <w:t xml:space="preserve"> </w:t>
            </w:r>
          </w:p>
        </w:tc>
        <w:tc>
          <w:tcPr>
            <w:tcW w:w="2317" w:type="dxa"/>
            <w:tcMar>
              <w:left w:w="70" w:type="dxa"/>
              <w:right w:w="70" w:type="dxa"/>
            </w:tcMar>
          </w:tcPr>
          <w:p w14:paraId="1972566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22004AFD" w14:textId="77777777" w:rsidTr="00555A56">
        <w:trPr>
          <w:trHeight w:val="180"/>
        </w:trPr>
        <w:tc>
          <w:tcPr>
            <w:tcW w:w="1157" w:type="dxa"/>
            <w:vMerge w:val="restart"/>
            <w:tcMar>
              <w:left w:w="70" w:type="dxa"/>
              <w:right w:w="70" w:type="dxa"/>
            </w:tcMar>
          </w:tcPr>
          <w:p w14:paraId="45E7035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Replicability</w:t>
            </w:r>
          </w:p>
        </w:tc>
        <w:tc>
          <w:tcPr>
            <w:tcW w:w="2230" w:type="dxa"/>
            <w:tcMar>
              <w:left w:w="70" w:type="dxa"/>
              <w:right w:w="70" w:type="dxa"/>
            </w:tcMar>
          </w:tcPr>
          <w:p w14:paraId="4A7709A0"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Inferential replicability</w:t>
            </w:r>
          </w:p>
        </w:tc>
        <w:tc>
          <w:tcPr>
            <w:tcW w:w="213" w:type="dxa"/>
            <w:tcMar>
              <w:left w:w="70" w:type="dxa"/>
              <w:right w:w="70" w:type="dxa"/>
            </w:tcMar>
          </w:tcPr>
          <w:p w14:paraId="53B918B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915" w:type="dxa"/>
            <w:tcMar>
              <w:left w:w="70" w:type="dxa"/>
              <w:right w:w="70" w:type="dxa"/>
            </w:tcMar>
          </w:tcPr>
          <w:p w14:paraId="7EF6EDC9" w14:textId="77777777" w:rsidR="00E63726" w:rsidRPr="005A0FC6" w:rsidRDefault="00E63726" w:rsidP="00555A56">
            <w:pPr>
              <w:rPr>
                <w:rFonts w:ascii="Times New Roman" w:eastAsia="Times New Roman" w:hAnsi="Times New Roman" w:cs="Times New Roman"/>
                <w:sz w:val="18"/>
                <w:szCs w:val="18"/>
              </w:rPr>
            </w:pPr>
            <w:r w:rsidRPr="005A0FC6">
              <w:rPr>
                <w:rFonts w:ascii="Times New Roman" w:eastAsia="Times New Roman" w:hAnsi="Times New Roman" w:cs="Times New Roman"/>
                <w:sz w:val="18"/>
                <w:szCs w:val="18"/>
              </w:rPr>
              <w:t xml:space="preserve"> </w:t>
            </w:r>
          </w:p>
        </w:tc>
        <w:tc>
          <w:tcPr>
            <w:tcW w:w="1183" w:type="dxa"/>
            <w:tcMar>
              <w:left w:w="70" w:type="dxa"/>
              <w:right w:w="70" w:type="dxa"/>
            </w:tcMar>
          </w:tcPr>
          <w:p w14:paraId="620D4422" w14:textId="77777777" w:rsidR="00E63726" w:rsidRPr="005A0FC6" w:rsidRDefault="00E63726" w:rsidP="00555A56">
            <w:pPr>
              <w:rPr>
                <w:rFonts w:ascii="Times New Roman" w:eastAsia="Times New Roman" w:hAnsi="Times New Roman" w:cs="Times New Roman"/>
                <w:sz w:val="18"/>
                <w:szCs w:val="18"/>
              </w:rPr>
            </w:pPr>
            <w:r w:rsidRPr="005A0FC6">
              <w:rPr>
                <w:rFonts w:ascii="Times New Roman" w:eastAsia="Times New Roman" w:hAnsi="Times New Roman" w:cs="Times New Roman"/>
                <w:sz w:val="18"/>
                <w:szCs w:val="18"/>
              </w:rPr>
              <w:t xml:space="preserve"> </w:t>
            </w:r>
          </w:p>
        </w:tc>
        <w:tc>
          <w:tcPr>
            <w:tcW w:w="2317" w:type="dxa"/>
            <w:tcMar>
              <w:left w:w="70" w:type="dxa"/>
              <w:right w:w="70" w:type="dxa"/>
            </w:tcMar>
          </w:tcPr>
          <w:p w14:paraId="31FBBFF8" w14:textId="77777777" w:rsidR="00E63726" w:rsidRPr="005A0FC6" w:rsidRDefault="00E63726" w:rsidP="00555A56">
            <w:pPr>
              <w:rPr>
                <w:rFonts w:ascii="Times New Roman" w:eastAsia="Times New Roman" w:hAnsi="Times New Roman" w:cs="Times New Roman"/>
                <w:sz w:val="18"/>
                <w:szCs w:val="18"/>
              </w:rPr>
            </w:pPr>
            <w:r w:rsidRPr="005A0FC6">
              <w:rPr>
                <w:rFonts w:ascii="Times New Roman" w:eastAsia="Times New Roman" w:hAnsi="Times New Roman" w:cs="Times New Roman"/>
                <w:sz w:val="18"/>
                <w:szCs w:val="18"/>
              </w:rPr>
              <w:t xml:space="preserve"> </w:t>
            </w:r>
          </w:p>
        </w:tc>
      </w:tr>
      <w:tr w:rsidR="00E63726" w:rsidRPr="005A0FC6" w14:paraId="1DA192A1" w14:textId="77777777" w:rsidTr="00555A56">
        <w:trPr>
          <w:trHeight w:val="360"/>
        </w:trPr>
        <w:tc>
          <w:tcPr>
            <w:tcW w:w="1157" w:type="dxa"/>
            <w:vMerge/>
            <w:vAlign w:val="center"/>
          </w:tcPr>
          <w:p w14:paraId="004980BD" w14:textId="77777777" w:rsidR="00E63726" w:rsidRPr="005A0FC6" w:rsidRDefault="00E63726" w:rsidP="00555A56">
            <w:pPr>
              <w:rPr>
                <w:rFonts w:ascii="Times New Roman" w:hAnsi="Times New Roman" w:cs="Times New Roman"/>
                <w:sz w:val="18"/>
                <w:szCs w:val="18"/>
              </w:rPr>
            </w:pPr>
          </w:p>
        </w:tc>
        <w:tc>
          <w:tcPr>
            <w:tcW w:w="2230" w:type="dxa"/>
            <w:tcMar>
              <w:left w:w="70" w:type="dxa"/>
              <w:right w:w="70" w:type="dxa"/>
            </w:tcMar>
          </w:tcPr>
          <w:p w14:paraId="1EDC8850"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Computational/Outcome/Result/Numerical/Statistical replicability</w:t>
            </w:r>
          </w:p>
        </w:tc>
        <w:tc>
          <w:tcPr>
            <w:tcW w:w="213" w:type="dxa"/>
            <w:tcMar>
              <w:left w:w="70" w:type="dxa"/>
              <w:right w:w="70" w:type="dxa"/>
            </w:tcMar>
          </w:tcPr>
          <w:p w14:paraId="0D661AA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2</w:t>
            </w:r>
          </w:p>
        </w:tc>
        <w:tc>
          <w:tcPr>
            <w:tcW w:w="1915" w:type="dxa"/>
            <w:tcMar>
              <w:left w:w="70" w:type="dxa"/>
              <w:right w:w="70" w:type="dxa"/>
            </w:tcMar>
          </w:tcPr>
          <w:p w14:paraId="2118C29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Results replicability</w:t>
            </w:r>
          </w:p>
        </w:tc>
        <w:tc>
          <w:tcPr>
            <w:tcW w:w="1183" w:type="dxa"/>
            <w:tcMar>
              <w:left w:w="70" w:type="dxa"/>
              <w:right w:w="70" w:type="dxa"/>
            </w:tcMar>
          </w:tcPr>
          <w:p w14:paraId="4DED2F5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results replicability</w:t>
            </w:r>
          </w:p>
        </w:tc>
        <w:tc>
          <w:tcPr>
            <w:tcW w:w="2317" w:type="dxa"/>
            <w:tcMar>
              <w:left w:w="70" w:type="dxa"/>
              <w:right w:w="70" w:type="dxa"/>
            </w:tcMar>
          </w:tcPr>
          <w:p w14:paraId="1F3DB6F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Arroyo-Araujo (2019), Shen (2023)</w:t>
            </w:r>
          </w:p>
        </w:tc>
      </w:tr>
      <w:tr w:rsidR="00E63726" w:rsidRPr="005A0FC6" w14:paraId="3C38A35C" w14:textId="77777777" w:rsidTr="00555A56">
        <w:trPr>
          <w:trHeight w:val="180"/>
        </w:trPr>
        <w:tc>
          <w:tcPr>
            <w:tcW w:w="1157" w:type="dxa"/>
            <w:vMerge w:val="restart"/>
            <w:tcMar>
              <w:left w:w="70" w:type="dxa"/>
              <w:right w:w="70" w:type="dxa"/>
            </w:tcMar>
          </w:tcPr>
          <w:p w14:paraId="5A82DCF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Other direct outcome</w:t>
            </w:r>
          </w:p>
        </w:tc>
        <w:tc>
          <w:tcPr>
            <w:tcW w:w="2230" w:type="dxa"/>
            <w:vMerge w:val="restart"/>
            <w:tcMar>
              <w:left w:w="70" w:type="dxa"/>
              <w:right w:w="70" w:type="dxa"/>
            </w:tcMar>
          </w:tcPr>
          <w:p w14:paraId="6964C015"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Other</w:t>
            </w:r>
          </w:p>
        </w:tc>
        <w:tc>
          <w:tcPr>
            <w:tcW w:w="213" w:type="dxa"/>
            <w:tcMar>
              <w:left w:w="70" w:type="dxa"/>
              <w:right w:w="70" w:type="dxa"/>
            </w:tcMar>
          </w:tcPr>
          <w:p w14:paraId="5929CE3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3</w:t>
            </w:r>
          </w:p>
        </w:tc>
        <w:tc>
          <w:tcPr>
            <w:tcW w:w="1915" w:type="dxa"/>
            <w:tcMar>
              <w:left w:w="70" w:type="dxa"/>
              <w:right w:w="70" w:type="dxa"/>
            </w:tcMar>
          </w:tcPr>
          <w:p w14:paraId="33D976C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Statistical inconsistencies</w:t>
            </w:r>
          </w:p>
        </w:tc>
        <w:tc>
          <w:tcPr>
            <w:tcW w:w="1183" w:type="dxa"/>
            <w:tcMar>
              <w:left w:w="70" w:type="dxa"/>
              <w:right w:w="70" w:type="dxa"/>
            </w:tcMar>
          </w:tcPr>
          <w:p w14:paraId="38AEF68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statistical inconsistencies</w:t>
            </w:r>
          </w:p>
        </w:tc>
        <w:tc>
          <w:tcPr>
            <w:tcW w:w="2317" w:type="dxa"/>
            <w:tcMar>
              <w:left w:w="70" w:type="dxa"/>
              <w:right w:w="70" w:type="dxa"/>
            </w:tcMar>
          </w:tcPr>
          <w:p w14:paraId="2B3570E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Nuijten (2017; 3 studies)</w:t>
            </w:r>
          </w:p>
        </w:tc>
      </w:tr>
      <w:tr w:rsidR="00E63726" w:rsidRPr="005A0FC6" w14:paraId="47B2BB32" w14:textId="77777777" w:rsidTr="00555A56">
        <w:trPr>
          <w:trHeight w:val="180"/>
        </w:trPr>
        <w:tc>
          <w:tcPr>
            <w:tcW w:w="1157" w:type="dxa"/>
            <w:vMerge/>
            <w:vAlign w:val="center"/>
          </w:tcPr>
          <w:p w14:paraId="63DFD3AA" w14:textId="77777777" w:rsidR="00E63726" w:rsidRPr="005A0FC6" w:rsidRDefault="00E63726" w:rsidP="00555A56">
            <w:pPr>
              <w:rPr>
                <w:rFonts w:ascii="Times New Roman" w:hAnsi="Times New Roman" w:cs="Times New Roman"/>
                <w:sz w:val="18"/>
                <w:szCs w:val="18"/>
              </w:rPr>
            </w:pPr>
          </w:p>
        </w:tc>
        <w:tc>
          <w:tcPr>
            <w:tcW w:w="2230" w:type="dxa"/>
            <w:vMerge/>
            <w:vAlign w:val="center"/>
          </w:tcPr>
          <w:p w14:paraId="1CC81965" w14:textId="77777777" w:rsidR="00E63726" w:rsidRPr="005A0FC6" w:rsidRDefault="00E63726" w:rsidP="00555A56">
            <w:pPr>
              <w:rPr>
                <w:rFonts w:ascii="Times New Roman" w:hAnsi="Times New Roman" w:cs="Times New Roman"/>
                <w:sz w:val="18"/>
                <w:szCs w:val="18"/>
              </w:rPr>
            </w:pPr>
          </w:p>
        </w:tc>
        <w:tc>
          <w:tcPr>
            <w:tcW w:w="213" w:type="dxa"/>
            <w:tcMar>
              <w:left w:w="70" w:type="dxa"/>
              <w:right w:w="70" w:type="dxa"/>
            </w:tcMar>
          </w:tcPr>
          <w:p w14:paraId="4382FC1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1</w:t>
            </w:r>
          </w:p>
        </w:tc>
        <w:tc>
          <w:tcPr>
            <w:tcW w:w="1915" w:type="dxa"/>
            <w:tcMar>
              <w:left w:w="70" w:type="dxa"/>
              <w:right w:w="70" w:type="dxa"/>
            </w:tcMar>
          </w:tcPr>
          <w:p w14:paraId="130E451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Type-I error reduction</w:t>
            </w:r>
          </w:p>
        </w:tc>
        <w:tc>
          <w:tcPr>
            <w:tcW w:w="1183" w:type="dxa"/>
            <w:tcMar>
              <w:left w:w="70" w:type="dxa"/>
              <w:right w:w="70" w:type="dxa"/>
            </w:tcMar>
          </w:tcPr>
          <w:p w14:paraId="257C6BE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type-I error reduction</w:t>
            </w:r>
          </w:p>
        </w:tc>
        <w:tc>
          <w:tcPr>
            <w:tcW w:w="2317" w:type="dxa"/>
            <w:tcMar>
              <w:left w:w="70" w:type="dxa"/>
              <w:right w:w="70" w:type="dxa"/>
            </w:tcMar>
          </w:tcPr>
          <w:p w14:paraId="3145394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Jaljuli (2023)</w:t>
            </w:r>
          </w:p>
        </w:tc>
      </w:tr>
    </w:tbl>
    <w:p w14:paraId="2EC450AC" w14:textId="77777777" w:rsidR="00E63726" w:rsidRDefault="00E63726" w:rsidP="00E63726">
      <w:pPr>
        <w:spacing w:line="257" w:lineRule="auto"/>
      </w:pPr>
      <w:r w:rsidRPr="7C5BD209">
        <w:rPr>
          <w:rFonts w:ascii="Calibri" w:eastAsia="Calibri" w:hAnsi="Calibri" w:cs="Calibri"/>
        </w:rPr>
        <w:t xml:space="preserve"> </w:t>
      </w:r>
    </w:p>
    <w:p w14:paraId="3C57925A" w14:textId="77777777" w:rsidR="00E63726" w:rsidRDefault="00E63726" w:rsidP="00E63726">
      <w:pPr>
        <w:pStyle w:val="Kop2"/>
        <w:spacing w:line="257" w:lineRule="auto"/>
      </w:pPr>
      <w:r w:rsidRPr="7C5BD209">
        <w:rPr>
          <w:rFonts w:ascii="Calibri Light" w:eastAsia="Calibri Light" w:hAnsi="Calibri Light" w:cs="Calibri Light"/>
        </w:rPr>
        <w:t>5b.Proxy outcomes</w:t>
      </w:r>
    </w:p>
    <w:tbl>
      <w:tblPr>
        <w:tblStyle w:val="Tabelraster"/>
        <w:tblW w:w="0" w:type="auto"/>
        <w:tblLayout w:type="fixed"/>
        <w:tblLook w:val="04A0" w:firstRow="1" w:lastRow="0" w:firstColumn="1" w:lastColumn="0" w:noHBand="0" w:noVBand="1"/>
      </w:tblPr>
      <w:tblGrid>
        <w:gridCol w:w="1157"/>
        <w:gridCol w:w="1977"/>
        <w:gridCol w:w="405"/>
        <w:gridCol w:w="1723"/>
        <w:gridCol w:w="1183"/>
        <w:gridCol w:w="2570"/>
      </w:tblGrid>
      <w:tr w:rsidR="00E63726" w:rsidRPr="005A0FC6" w14:paraId="088D100D" w14:textId="77777777" w:rsidTr="00555A56">
        <w:trPr>
          <w:trHeight w:val="360"/>
        </w:trPr>
        <w:tc>
          <w:tcPr>
            <w:tcW w:w="1157" w:type="dxa"/>
            <w:tcMar>
              <w:left w:w="70" w:type="dxa"/>
              <w:right w:w="70" w:type="dxa"/>
            </w:tcMar>
          </w:tcPr>
          <w:p w14:paraId="0696658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b/>
                <w:bCs/>
                <w:color w:val="000000" w:themeColor="text1"/>
                <w:sz w:val="18"/>
                <w:szCs w:val="18"/>
              </w:rPr>
              <w:t>Outcomes class</w:t>
            </w:r>
            <w:r w:rsidRPr="005A0FC6">
              <w:rPr>
                <w:rFonts w:ascii="Times New Roman" w:hAnsi="Times New Roman" w:cs="Times New Roman"/>
                <w:sz w:val="18"/>
                <w:szCs w:val="18"/>
              </w:rPr>
              <w:br/>
            </w:r>
            <w:r w:rsidRPr="005A0FC6">
              <w:rPr>
                <w:rFonts w:ascii="Times New Roman" w:eastAsia="Times New Roman" w:hAnsi="Times New Roman" w:cs="Times New Roman"/>
                <w:b/>
                <w:bCs/>
                <w:color w:val="000000" w:themeColor="text1"/>
                <w:sz w:val="18"/>
                <w:szCs w:val="18"/>
              </w:rPr>
              <w:t xml:space="preserve"> </w:t>
            </w:r>
            <w:r w:rsidRPr="005A0FC6">
              <w:rPr>
                <w:rFonts w:ascii="Times New Roman" w:eastAsia="Times New Roman" w:hAnsi="Times New Roman" w:cs="Times New Roman"/>
                <w:color w:val="000000" w:themeColor="text1"/>
                <w:sz w:val="18"/>
                <w:szCs w:val="18"/>
              </w:rPr>
              <w:t>(Additional variable)</w:t>
            </w:r>
          </w:p>
        </w:tc>
        <w:tc>
          <w:tcPr>
            <w:tcW w:w="1977" w:type="dxa"/>
            <w:tcMar>
              <w:left w:w="70" w:type="dxa"/>
              <w:right w:w="70" w:type="dxa"/>
            </w:tcMar>
          </w:tcPr>
          <w:p w14:paraId="52C2D0C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b/>
                <w:bCs/>
                <w:color w:val="000000" w:themeColor="text1"/>
                <w:sz w:val="18"/>
                <w:szCs w:val="18"/>
              </w:rPr>
              <w:t>Outcomes subclass</w:t>
            </w:r>
            <w:r w:rsidRPr="005A0FC6">
              <w:rPr>
                <w:rFonts w:ascii="Times New Roman" w:hAnsi="Times New Roman" w:cs="Times New Roman"/>
                <w:sz w:val="18"/>
                <w:szCs w:val="18"/>
                <w:lang w:val="en-US"/>
              </w:rPr>
              <w:br/>
            </w:r>
            <w:r w:rsidRPr="005A0FC6">
              <w:rPr>
                <w:rFonts w:ascii="Times New Roman" w:eastAsia="Times New Roman" w:hAnsi="Times New Roman" w:cs="Times New Roman"/>
                <w:b/>
                <w:bCs/>
                <w:color w:val="000000" w:themeColor="text1"/>
                <w:sz w:val="18"/>
                <w:szCs w:val="18"/>
              </w:rPr>
              <w:t xml:space="preserve"> </w:t>
            </w:r>
            <w:r w:rsidRPr="005A0FC6">
              <w:rPr>
                <w:rFonts w:ascii="Times New Roman" w:eastAsia="Times New Roman" w:hAnsi="Times New Roman" w:cs="Times New Roman"/>
                <w:color w:val="000000" w:themeColor="text1"/>
                <w:sz w:val="18"/>
                <w:szCs w:val="18"/>
              </w:rPr>
              <w:t>(as per data-extraction sheet)</w:t>
            </w:r>
          </w:p>
        </w:tc>
        <w:tc>
          <w:tcPr>
            <w:tcW w:w="405" w:type="dxa"/>
            <w:tcMar>
              <w:left w:w="70" w:type="dxa"/>
              <w:right w:w="70" w:type="dxa"/>
            </w:tcMar>
          </w:tcPr>
          <w:p w14:paraId="16D0341E" w14:textId="77777777" w:rsidR="00E63726" w:rsidRPr="005A0FC6" w:rsidRDefault="00E63726" w:rsidP="00555A56">
            <w:pPr>
              <w:rPr>
                <w:rFonts w:ascii="Times New Roman" w:eastAsia="Times New Roman" w:hAnsi="Times New Roman" w:cs="Times New Roman"/>
                <w:b/>
                <w:bCs/>
                <w:color w:val="000000" w:themeColor="text1"/>
                <w:sz w:val="18"/>
                <w:szCs w:val="18"/>
              </w:rPr>
            </w:pPr>
            <w:r w:rsidRPr="005A0FC6">
              <w:rPr>
                <w:rFonts w:ascii="Times New Roman" w:eastAsia="Times New Roman" w:hAnsi="Times New Roman" w:cs="Times New Roman"/>
                <w:b/>
                <w:bCs/>
                <w:color w:val="000000" w:themeColor="text1"/>
                <w:sz w:val="18"/>
                <w:szCs w:val="18"/>
              </w:rPr>
              <w:t>n</w:t>
            </w:r>
          </w:p>
        </w:tc>
        <w:tc>
          <w:tcPr>
            <w:tcW w:w="1723" w:type="dxa"/>
            <w:tcMar>
              <w:left w:w="70" w:type="dxa"/>
              <w:right w:w="70" w:type="dxa"/>
            </w:tcMar>
          </w:tcPr>
          <w:p w14:paraId="4C6C23D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b/>
                <w:bCs/>
                <w:color w:val="000000" w:themeColor="text1"/>
                <w:sz w:val="18"/>
                <w:szCs w:val="18"/>
              </w:rPr>
              <w:t>Outcomes subclass</w:t>
            </w:r>
            <w:r w:rsidRPr="005A0FC6">
              <w:rPr>
                <w:rFonts w:ascii="Times New Roman" w:hAnsi="Times New Roman" w:cs="Times New Roman"/>
                <w:sz w:val="18"/>
                <w:szCs w:val="18"/>
                <w:lang w:val="en-US"/>
              </w:rPr>
              <w:br/>
            </w:r>
            <w:r w:rsidRPr="005A0FC6">
              <w:rPr>
                <w:rFonts w:ascii="Times New Roman" w:eastAsia="Times New Roman" w:hAnsi="Times New Roman" w:cs="Times New Roman"/>
                <w:b/>
                <w:bCs/>
                <w:color w:val="000000" w:themeColor="text1"/>
                <w:sz w:val="18"/>
                <w:szCs w:val="18"/>
              </w:rPr>
              <w:t xml:space="preserve"> </w:t>
            </w:r>
            <w:r w:rsidRPr="005A0FC6">
              <w:rPr>
                <w:rFonts w:ascii="Times New Roman" w:eastAsia="Times New Roman" w:hAnsi="Times New Roman" w:cs="Times New Roman"/>
                <w:color w:val="000000" w:themeColor="text1"/>
                <w:sz w:val="18"/>
                <w:szCs w:val="18"/>
              </w:rPr>
              <w:t>(modified for analysis purposes)</w:t>
            </w:r>
          </w:p>
        </w:tc>
        <w:tc>
          <w:tcPr>
            <w:tcW w:w="1183" w:type="dxa"/>
            <w:tcMar>
              <w:left w:w="70" w:type="dxa"/>
              <w:right w:w="70" w:type="dxa"/>
            </w:tcMar>
          </w:tcPr>
          <w:p w14:paraId="6BA89B4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b/>
                <w:bCs/>
                <w:color w:val="000000" w:themeColor="text1"/>
                <w:sz w:val="18"/>
                <w:szCs w:val="18"/>
              </w:rPr>
              <w:t>Exact outcomes</w:t>
            </w:r>
            <w:r w:rsidRPr="005A0FC6">
              <w:rPr>
                <w:rFonts w:ascii="Times New Roman" w:hAnsi="Times New Roman" w:cs="Times New Roman"/>
                <w:sz w:val="18"/>
                <w:szCs w:val="18"/>
              </w:rPr>
              <w:br/>
            </w:r>
            <w:r w:rsidRPr="005A0FC6">
              <w:rPr>
                <w:rFonts w:ascii="Times New Roman" w:eastAsia="Times New Roman" w:hAnsi="Times New Roman" w:cs="Times New Roman"/>
                <w:b/>
                <w:bCs/>
                <w:color w:val="000000" w:themeColor="text1"/>
                <w:sz w:val="18"/>
                <w:szCs w:val="18"/>
              </w:rPr>
              <w:t xml:space="preserve"> </w:t>
            </w:r>
            <w:r w:rsidRPr="005A0FC6">
              <w:rPr>
                <w:rFonts w:ascii="Times New Roman" w:eastAsia="Times New Roman" w:hAnsi="Times New Roman" w:cs="Times New Roman"/>
                <w:color w:val="000000" w:themeColor="text1"/>
                <w:sz w:val="18"/>
                <w:szCs w:val="18"/>
              </w:rPr>
              <w:t>(more details)</w:t>
            </w:r>
          </w:p>
        </w:tc>
        <w:tc>
          <w:tcPr>
            <w:tcW w:w="2570" w:type="dxa"/>
            <w:tcMar>
              <w:left w:w="70" w:type="dxa"/>
              <w:right w:w="70" w:type="dxa"/>
            </w:tcMar>
          </w:tcPr>
          <w:p w14:paraId="3E59729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b/>
                <w:bCs/>
                <w:color w:val="000000" w:themeColor="text1"/>
                <w:sz w:val="18"/>
                <w:szCs w:val="18"/>
              </w:rPr>
              <w:t>References</w:t>
            </w:r>
            <w:r w:rsidRPr="005A0FC6">
              <w:rPr>
                <w:rFonts w:ascii="Times New Roman" w:hAnsi="Times New Roman" w:cs="Times New Roman"/>
                <w:sz w:val="18"/>
                <w:szCs w:val="18"/>
              </w:rPr>
              <w:br/>
            </w:r>
            <w:r w:rsidRPr="005A0FC6">
              <w:rPr>
                <w:rFonts w:ascii="Times New Roman" w:eastAsia="Times New Roman" w:hAnsi="Times New Roman" w:cs="Times New Roman"/>
                <w:b/>
                <w:bCs/>
                <w:color w:val="000000" w:themeColor="text1"/>
                <w:sz w:val="18"/>
                <w:szCs w:val="18"/>
              </w:rPr>
              <w:t xml:space="preserve"> </w:t>
            </w:r>
            <w:r w:rsidRPr="005A0FC6">
              <w:rPr>
                <w:rFonts w:ascii="Times New Roman" w:eastAsia="Times New Roman" w:hAnsi="Times New Roman" w:cs="Times New Roman"/>
                <w:color w:val="000000" w:themeColor="text1"/>
                <w:sz w:val="18"/>
                <w:szCs w:val="18"/>
              </w:rPr>
              <w:t>(First author (year))</w:t>
            </w:r>
          </w:p>
        </w:tc>
      </w:tr>
      <w:tr w:rsidR="00E63726" w:rsidRPr="00E63726" w14:paraId="125FDA3F" w14:textId="77777777" w:rsidTr="00555A56">
        <w:trPr>
          <w:trHeight w:val="360"/>
        </w:trPr>
        <w:tc>
          <w:tcPr>
            <w:tcW w:w="1157" w:type="dxa"/>
            <w:vMerge w:val="restart"/>
            <w:tcMar>
              <w:left w:w="70" w:type="dxa"/>
              <w:right w:w="70" w:type="dxa"/>
            </w:tcMar>
            <w:vAlign w:val="center"/>
          </w:tcPr>
          <w:p w14:paraId="26AD815D"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Registration Status</w:t>
            </w:r>
          </w:p>
        </w:tc>
        <w:tc>
          <w:tcPr>
            <w:tcW w:w="1977" w:type="dxa"/>
            <w:tcMar>
              <w:left w:w="70" w:type="dxa"/>
              <w:right w:w="70" w:type="dxa"/>
            </w:tcMar>
            <w:vAlign w:val="center"/>
          </w:tcPr>
          <w:p w14:paraId="6948A0ED"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Pre-registration</w:t>
            </w:r>
          </w:p>
        </w:tc>
        <w:tc>
          <w:tcPr>
            <w:tcW w:w="405" w:type="dxa"/>
            <w:tcMar>
              <w:left w:w="70" w:type="dxa"/>
              <w:right w:w="70" w:type="dxa"/>
            </w:tcMar>
          </w:tcPr>
          <w:p w14:paraId="2252A3A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4</w:t>
            </w:r>
          </w:p>
        </w:tc>
        <w:tc>
          <w:tcPr>
            <w:tcW w:w="1723" w:type="dxa"/>
            <w:tcMar>
              <w:left w:w="70" w:type="dxa"/>
              <w:right w:w="70" w:type="dxa"/>
            </w:tcMar>
          </w:tcPr>
          <w:p w14:paraId="575C10C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Pre-registration</w:t>
            </w:r>
          </w:p>
        </w:tc>
        <w:tc>
          <w:tcPr>
            <w:tcW w:w="1183" w:type="dxa"/>
            <w:tcMar>
              <w:left w:w="70" w:type="dxa"/>
              <w:right w:w="70" w:type="dxa"/>
            </w:tcMar>
          </w:tcPr>
          <w:p w14:paraId="01FDAD5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preregistration</w:t>
            </w:r>
          </w:p>
        </w:tc>
        <w:tc>
          <w:tcPr>
            <w:tcW w:w="2570" w:type="dxa"/>
            <w:tcMar>
              <w:left w:w="70" w:type="dxa"/>
              <w:right w:w="70" w:type="dxa"/>
            </w:tcMar>
          </w:tcPr>
          <w:p w14:paraId="7BEEC747" w14:textId="77777777" w:rsidR="00E63726" w:rsidRPr="00E63726" w:rsidRDefault="00E63726" w:rsidP="00555A56">
            <w:pPr>
              <w:rPr>
                <w:rFonts w:ascii="Times New Roman" w:eastAsia="Times New Roman" w:hAnsi="Times New Roman" w:cs="Times New Roman"/>
                <w:color w:val="000000" w:themeColor="text1"/>
                <w:sz w:val="18"/>
                <w:szCs w:val="18"/>
                <w:lang w:val="nl-NL"/>
              </w:rPr>
            </w:pPr>
            <w:r w:rsidRPr="00E63726">
              <w:rPr>
                <w:rFonts w:ascii="Times New Roman" w:eastAsia="Times New Roman" w:hAnsi="Times New Roman" w:cs="Times New Roman"/>
                <w:color w:val="000000" w:themeColor="text1"/>
                <w:sz w:val="18"/>
                <w:szCs w:val="18"/>
                <w:lang w:val="nl-NL"/>
              </w:rPr>
              <w:t>Hardt (2013), McGee (2011), Sims (2016), van der Braak (2022)</w:t>
            </w:r>
          </w:p>
        </w:tc>
      </w:tr>
      <w:tr w:rsidR="00E63726" w:rsidRPr="005A0FC6" w14:paraId="1E94BB73" w14:textId="77777777" w:rsidTr="00555A56">
        <w:trPr>
          <w:trHeight w:val="180"/>
        </w:trPr>
        <w:tc>
          <w:tcPr>
            <w:tcW w:w="1157" w:type="dxa"/>
            <w:vMerge/>
            <w:vAlign w:val="center"/>
          </w:tcPr>
          <w:p w14:paraId="02445937" w14:textId="77777777" w:rsidR="00E63726" w:rsidRPr="00E63726" w:rsidRDefault="00E63726" w:rsidP="00555A56">
            <w:pPr>
              <w:rPr>
                <w:rFonts w:ascii="Times New Roman" w:hAnsi="Times New Roman" w:cs="Times New Roman"/>
                <w:sz w:val="18"/>
                <w:szCs w:val="18"/>
                <w:lang w:val="nl-NL"/>
              </w:rPr>
            </w:pPr>
          </w:p>
        </w:tc>
        <w:tc>
          <w:tcPr>
            <w:tcW w:w="1977" w:type="dxa"/>
            <w:tcMar>
              <w:left w:w="70" w:type="dxa"/>
              <w:right w:w="70" w:type="dxa"/>
            </w:tcMar>
            <w:vAlign w:val="center"/>
          </w:tcPr>
          <w:p w14:paraId="131F3A8C"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Registered reports</w:t>
            </w:r>
          </w:p>
        </w:tc>
        <w:tc>
          <w:tcPr>
            <w:tcW w:w="405" w:type="dxa"/>
            <w:tcMar>
              <w:left w:w="70" w:type="dxa"/>
              <w:right w:w="70" w:type="dxa"/>
            </w:tcMar>
          </w:tcPr>
          <w:p w14:paraId="3015BCB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723" w:type="dxa"/>
            <w:tcMar>
              <w:left w:w="70" w:type="dxa"/>
              <w:right w:w="70" w:type="dxa"/>
            </w:tcMar>
          </w:tcPr>
          <w:p w14:paraId="4CF69220" w14:textId="77777777" w:rsidR="00E63726" w:rsidRPr="005A0FC6" w:rsidRDefault="00E63726" w:rsidP="00555A56">
            <w:pPr>
              <w:rPr>
                <w:rFonts w:ascii="Times New Roman" w:eastAsia="Times New Roman" w:hAnsi="Times New Roman" w:cs="Times New Roman"/>
                <w:sz w:val="18"/>
                <w:szCs w:val="18"/>
              </w:rPr>
            </w:pPr>
            <w:r w:rsidRPr="005A0FC6">
              <w:rPr>
                <w:rFonts w:ascii="Times New Roman" w:eastAsia="Times New Roman" w:hAnsi="Times New Roman" w:cs="Times New Roman"/>
                <w:sz w:val="18"/>
                <w:szCs w:val="18"/>
              </w:rPr>
              <w:t xml:space="preserve"> </w:t>
            </w:r>
          </w:p>
        </w:tc>
        <w:tc>
          <w:tcPr>
            <w:tcW w:w="1183" w:type="dxa"/>
            <w:tcMar>
              <w:left w:w="70" w:type="dxa"/>
              <w:right w:w="70" w:type="dxa"/>
            </w:tcMar>
          </w:tcPr>
          <w:p w14:paraId="2A50ABF2" w14:textId="77777777" w:rsidR="00E63726" w:rsidRPr="005A0FC6" w:rsidRDefault="00E63726" w:rsidP="00555A56">
            <w:pPr>
              <w:rPr>
                <w:rFonts w:ascii="Times New Roman" w:eastAsia="Times New Roman" w:hAnsi="Times New Roman" w:cs="Times New Roman"/>
                <w:sz w:val="18"/>
                <w:szCs w:val="18"/>
              </w:rPr>
            </w:pPr>
            <w:r w:rsidRPr="005A0FC6">
              <w:rPr>
                <w:rFonts w:ascii="Times New Roman" w:eastAsia="Times New Roman" w:hAnsi="Times New Roman" w:cs="Times New Roman"/>
                <w:sz w:val="18"/>
                <w:szCs w:val="18"/>
              </w:rPr>
              <w:t xml:space="preserve"> </w:t>
            </w:r>
          </w:p>
        </w:tc>
        <w:tc>
          <w:tcPr>
            <w:tcW w:w="2570" w:type="dxa"/>
            <w:tcMar>
              <w:left w:w="70" w:type="dxa"/>
              <w:right w:w="70" w:type="dxa"/>
            </w:tcMar>
          </w:tcPr>
          <w:p w14:paraId="73E11FF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42DE9FBF" w14:textId="77777777" w:rsidTr="00555A56">
        <w:trPr>
          <w:trHeight w:val="180"/>
        </w:trPr>
        <w:tc>
          <w:tcPr>
            <w:tcW w:w="1157" w:type="dxa"/>
            <w:vMerge w:val="restart"/>
            <w:tcMar>
              <w:left w:w="70" w:type="dxa"/>
              <w:right w:w="70" w:type="dxa"/>
            </w:tcMar>
            <w:vAlign w:val="center"/>
          </w:tcPr>
          <w:p w14:paraId="4AE7E78B"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Review</w:t>
            </w:r>
          </w:p>
        </w:tc>
        <w:tc>
          <w:tcPr>
            <w:tcW w:w="1977" w:type="dxa"/>
            <w:tcMar>
              <w:left w:w="70" w:type="dxa"/>
              <w:right w:w="70" w:type="dxa"/>
            </w:tcMar>
            <w:vAlign w:val="center"/>
          </w:tcPr>
          <w:p w14:paraId="3DAAA540"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Post study peer review</w:t>
            </w:r>
          </w:p>
        </w:tc>
        <w:tc>
          <w:tcPr>
            <w:tcW w:w="405" w:type="dxa"/>
            <w:tcMar>
              <w:left w:w="70" w:type="dxa"/>
              <w:right w:w="70" w:type="dxa"/>
            </w:tcMar>
          </w:tcPr>
          <w:p w14:paraId="5692555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723" w:type="dxa"/>
            <w:tcMar>
              <w:left w:w="70" w:type="dxa"/>
              <w:right w:w="70" w:type="dxa"/>
            </w:tcMar>
          </w:tcPr>
          <w:p w14:paraId="46E1340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183" w:type="dxa"/>
            <w:tcMar>
              <w:left w:w="70" w:type="dxa"/>
              <w:right w:w="70" w:type="dxa"/>
            </w:tcMar>
          </w:tcPr>
          <w:p w14:paraId="48953A8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2570" w:type="dxa"/>
            <w:tcMar>
              <w:left w:w="70" w:type="dxa"/>
              <w:right w:w="70" w:type="dxa"/>
            </w:tcMar>
          </w:tcPr>
          <w:p w14:paraId="1FF2DB9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76B81567" w14:textId="77777777" w:rsidTr="00555A56">
        <w:trPr>
          <w:trHeight w:val="180"/>
        </w:trPr>
        <w:tc>
          <w:tcPr>
            <w:tcW w:w="1157" w:type="dxa"/>
            <w:vMerge/>
            <w:vAlign w:val="center"/>
          </w:tcPr>
          <w:p w14:paraId="71A33A33" w14:textId="77777777" w:rsidR="00E63726" w:rsidRPr="005A0FC6" w:rsidRDefault="00E63726" w:rsidP="00555A56">
            <w:pPr>
              <w:rPr>
                <w:rFonts w:ascii="Times New Roman" w:hAnsi="Times New Roman" w:cs="Times New Roman"/>
                <w:sz w:val="18"/>
                <w:szCs w:val="18"/>
              </w:rPr>
            </w:pPr>
          </w:p>
        </w:tc>
        <w:tc>
          <w:tcPr>
            <w:tcW w:w="1977" w:type="dxa"/>
            <w:tcMar>
              <w:left w:w="70" w:type="dxa"/>
              <w:right w:w="70" w:type="dxa"/>
            </w:tcMar>
            <w:vAlign w:val="center"/>
          </w:tcPr>
          <w:p w14:paraId="1DFCB23D"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Reproducibility checks</w:t>
            </w:r>
          </w:p>
        </w:tc>
        <w:tc>
          <w:tcPr>
            <w:tcW w:w="405" w:type="dxa"/>
            <w:tcMar>
              <w:left w:w="70" w:type="dxa"/>
              <w:right w:w="70" w:type="dxa"/>
            </w:tcMar>
          </w:tcPr>
          <w:p w14:paraId="024E7D7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723" w:type="dxa"/>
            <w:tcMar>
              <w:left w:w="70" w:type="dxa"/>
              <w:right w:w="70" w:type="dxa"/>
            </w:tcMar>
          </w:tcPr>
          <w:p w14:paraId="182F232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183" w:type="dxa"/>
            <w:tcMar>
              <w:left w:w="70" w:type="dxa"/>
              <w:right w:w="70" w:type="dxa"/>
            </w:tcMar>
          </w:tcPr>
          <w:p w14:paraId="636382F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2570" w:type="dxa"/>
            <w:tcMar>
              <w:left w:w="70" w:type="dxa"/>
              <w:right w:w="70" w:type="dxa"/>
            </w:tcMar>
          </w:tcPr>
          <w:p w14:paraId="7BA4A76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01C6A6B3" w14:textId="77777777" w:rsidTr="00555A56">
        <w:trPr>
          <w:trHeight w:val="180"/>
        </w:trPr>
        <w:tc>
          <w:tcPr>
            <w:tcW w:w="1157" w:type="dxa"/>
            <w:vMerge w:val="restart"/>
            <w:tcMar>
              <w:left w:w="70" w:type="dxa"/>
              <w:right w:w="70" w:type="dxa"/>
            </w:tcMar>
            <w:vAlign w:val="center"/>
          </w:tcPr>
          <w:p w14:paraId="0F1A06BC"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Methods transparency</w:t>
            </w:r>
          </w:p>
        </w:tc>
        <w:tc>
          <w:tcPr>
            <w:tcW w:w="1977" w:type="dxa"/>
            <w:tcMar>
              <w:left w:w="70" w:type="dxa"/>
              <w:right w:w="70" w:type="dxa"/>
            </w:tcMar>
            <w:vAlign w:val="center"/>
          </w:tcPr>
          <w:p w14:paraId="74810694"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Analysis transparency</w:t>
            </w:r>
          </w:p>
        </w:tc>
        <w:tc>
          <w:tcPr>
            <w:tcW w:w="405" w:type="dxa"/>
            <w:tcMar>
              <w:left w:w="70" w:type="dxa"/>
              <w:right w:w="70" w:type="dxa"/>
            </w:tcMar>
          </w:tcPr>
          <w:p w14:paraId="14E6430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1</w:t>
            </w:r>
          </w:p>
        </w:tc>
        <w:tc>
          <w:tcPr>
            <w:tcW w:w="1723" w:type="dxa"/>
            <w:tcMar>
              <w:left w:w="70" w:type="dxa"/>
              <w:right w:w="70" w:type="dxa"/>
            </w:tcMar>
          </w:tcPr>
          <w:p w14:paraId="60A5D5F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Transparency of Analysis and Design</w:t>
            </w:r>
          </w:p>
        </w:tc>
        <w:tc>
          <w:tcPr>
            <w:tcW w:w="1183" w:type="dxa"/>
            <w:tcMar>
              <w:left w:w="70" w:type="dxa"/>
              <w:right w:w="70" w:type="dxa"/>
            </w:tcMar>
          </w:tcPr>
          <w:p w14:paraId="550EDCB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completeness of reporting</w:t>
            </w:r>
          </w:p>
        </w:tc>
        <w:tc>
          <w:tcPr>
            <w:tcW w:w="2570" w:type="dxa"/>
            <w:tcMar>
              <w:left w:w="70" w:type="dxa"/>
              <w:right w:w="70" w:type="dxa"/>
            </w:tcMar>
          </w:tcPr>
          <w:p w14:paraId="363747B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Clayson (2019)</w:t>
            </w:r>
          </w:p>
        </w:tc>
      </w:tr>
      <w:tr w:rsidR="00E63726" w:rsidRPr="005A0FC6" w14:paraId="6F5CF7D6" w14:textId="77777777" w:rsidTr="00555A56">
        <w:trPr>
          <w:trHeight w:val="180"/>
        </w:trPr>
        <w:tc>
          <w:tcPr>
            <w:tcW w:w="1157" w:type="dxa"/>
            <w:vMerge/>
            <w:vAlign w:val="center"/>
          </w:tcPr>
          <w:p w14:paraId="3CF5E07E" w14:textId="77777777" w:rsidR="00E63726" w:rsidRPr="005A0FC6" w:rsidRDefault="00E63726" w:rsidP="00555A56">
            <w:pPr>
              <w:rPr>
                <w:rFonts w:ascii="Times New Roman" w:hAnsi="Times New Roman" w:cs="Times New Roman"/>
                <w:sz w:val="18"/>
                <w:szCs w:val="18"/>
              </w:rPr>
            </w:pPr>
          </w:p>
        </w:tc>
        <w:tc>
          <w:tcPr>
            <w:tcW w:w="1977" w:type="dxa"/>
            <w:tcMar>
              <w:left w:w="70" w:type="dxa"/>
              <w:right w:w="70" w:type="dxa"/>
            </w:tcMar>
            <w:vAlign w:val="center"/>
          </w:tcPr>
          <w:p w14:paraId="3FB215D8"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Design transparency</w:t>
            </w:r>
          </w:p>
        </w:tc>
        <w:tc>
          <w:tcPr>
            <w:tcW w:w="405" w:type="dxa"/>
            <w:tcMar>
              <w:left w:w="70" w:type="dxa"/>
              <w:right w:w="70" w:type="dxa"/>
            </w:tcMar>
          </w:tcPr>
          <w:p w14:paraId="2DFCE8A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1</w:t>
            </w:r>
          </w:p>
        </w:tc>
        <w:tc>
          <w:tcPr>
            <w:tcW w:w="1723" w:type="dxa"/>
            <w:tcMar>
              <w:left w:w="70" w:type="dxa"/>
              <w:right w:w="70" w:type="dxa"/>
            </w:tcMar>
          </w:tcPr>
          <w:p w14:paraId="5A76C2D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Design transparency</w:t>
            </w:r>
          </w:p>
        </w:tc>
        <w:tc>
          <w:tcPr>
            <w:tcW w:w="1183" w:type="dxa"/>
            <w:tcMar>
              <w:left w:w="70" w:type="dxa"/>
              <w:right w:w="70" w:type="dxa"/>
            </w:tcMar>
          </w:tcPr>
          <w:p w14:paraId="191E4A7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reporting specific elements</w:t>
            </w:r>
          </w:p>
        </w:tc>
        <w:tc>
          <w:tcPr>
            <w:tcW w:w="2570" w:type="dxa"/>
            <w:tcMar>
              <w:left w:w="70" w:type="dxa"/>
              <w:right w:w="70" w:type="dxa"/>
            </w:tcMar>
          </w:tcPr>
          <w:p w14:paraId="3A1C6BB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Toth (2021)</w:t>
            </w:r>
          </w:p>
        </w:tc>
      </w:tr>
      <w:tr w:rsidR="00E63726" w:rsidRPr="005A0FC6" w14:paraId="5453C9B7" w14:textId="77777777" w:rsidTr="00555A56">
        <w:trPr>
          <w:trHeight w:val="180"/>
        </w:trPr>
        <w:tc>
          <w:tcPr>
            <w:tcW w:w="1157" w:type="dxa"/>
            <w:vMerge/>
            <w:vAlign w:val="center"/>
          </w:tcPr>
          <w:p w14:paraId="5C9CBAF6" w14:textId="77777777" w:rsidR="00E63726" w:rsidRPr="005A0FC6" w:rsidRDefault="00E63726" w:rsidP="00555A56">
            <w:pPr>
              <w:rPr>
                <w:rFonts w:ascii="Times New Roman" w:hAnsi="Times New Roman" w:cs="Times New Roman"/>
                <w:sz w:val="18"/>
                <w:szCs w:val="18"/>
              </w:rPr>
            </w:pPr>
          </w:p>
        </w:tc>
        <w:tc>
          <w:tcPr>
            <w:tcW w:w="1977" w:type="dxa"/>
            <w:tcMar>
              <w:left w:w="70" w:type="dxa"/>
              <w:right w:w="70" w:type="dxa"/>
            </w:tcMar>
            <w:vAlign w:val="center"/>
          </w:tcPr>
          <w:p w14:paraId="03BD50B4"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Research process/project workflow transparency</w:t>
            </w:r>
          </w:p>
        </w:tc>
        <w:tc>
          <w:tcPr>
            <w:tcW w:w="405" w:type="dxa"/>
            <w:tcMar>
              <w:left w:w="70" w:type="dxa"/>
              <w:right w:w="70" w:type="dxa"/>
            </w:tcMar>
          </w:tcPr>
          <w:p w14:paraId="10CDBAF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1</w:t>
            </w:r>
          </w:p>
        </w:tc>
        <w:tc>
          <w:tcPr>
            <w:tcW w:w="1723" w:type="dxa"/>
            <w:tcMar>
              <w:left w:w="70" w:type="dxa"/>
              <w:right w:w="70" w:type="dxa"/>
            </w:tcMar>
          </w:tcPr>
          <w:p w14:paraId="3F8B858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Research process or workflow transparency</w:t>
            </w:r>
          </w:p>
        </w:tc>
        <w:tc>
          <w:tcPr>
            <w:tcW w:w="1183" w:type="dxa"/>
            <w:tcMar>
              <w:left w:w="70" w:type="dxa"/>
              <w:right w:w="70" w:type="dxa"/>
            </w:tcMar>
          </w:tcPr>
          <w:p w14:paraId="668F65E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self-reported transparency</w:t>
            </w:r>
          </w:p>
        </w:tc>
        <w:tc>
          <w:tcPr>
            <w:tcW w:w="2570" w:type="dxa"/>
            <w:tcMar>
              <w:left w:w="70" w:type="dxa"/>
              <w:right w:w="70" w:type="dxa"/>
            </w:tcMar>
          </w:tcPr>
          <w:p w14:paraId="264586D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Menon (2021)</w:t>
            </w:r>
          </w:p>
        </w:tc>
      </w:tr>
      <w:tr w:rsidR="00E63726" w:rsidRPr="005A0FC6" w14:paraId="0E72D8B6" w14:textId="77777777" w:rsidTr="00555A56">
        <w:trPr>
          <w:trHeight w:val="1440"/>
        </w:trPr>
        <w:tc>
          <w:tcPr>
            <w:tcW w:w="1157" w:type="dxa"/>
            <w:vMerge/>
            <w:vAlign w:val="center"/>
          </w:tcPr>
          <w:p w14:paraId="2D6E4DDE" w14:textId="77777777" w:rsidR="00E63726" w:rsidRPr="005A0FC6" w:rsidRDefault="00E63726" w:rsidP="00555A56">
            <w:pPr>
              <w:rPr>
                <w:rFonts w:ascii="Times New Roman" w:hAnsi="Times New Roman" w:cs="Times New Roman"/>
                <w:sz w:val="18"/>
                <w:szCs w:val="18"/>
              </w:rPr>
            </w:pPr>
          </w:p>
        </w:tc>
        <w:tc>
          <w:tcPr>
            <w:tcW w:w="1977" w:type="dxa"/>
            <w:vMerge w:val="restart"/>
            <w:tcMar>
              <w:left w:w="70" w:type="dxa"/>
              <w:right w:w="70" w:type="dxa"/>
            </w:tcMar>
          </w:tcPr>
          <w:p w14:paraId="7BAE160F"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Methods transparency general</w:t>
            </w:r>
          </w:p>
        </w:tc>
        <w:tc>
          <w:tcPr>
            <w:tcW w:w="405" w:type="dxa"/>
            <w:vMerge w:val="restart"/>
            <w:tcMar>
              <w:left w:w="70" w:type="dxa"/>
              <w:right w:w="70" w:type="dxa"/>
            </w:tcMar>
          </w:tcPr>
          <w:p w14:paraId="60914A8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32</w:t>
            </w:r>
          </w:p>
        </w:tc>
        <w:tc>
          <w:tcPr>
            <w:tcW w:w="1723" w:type="dxa"/>
            <w:vMerge w:val="restart"/>
            <w:tcMar>
              <w:left w:w="70" w:type="dxa"/>
              <w:right w:w="70" w:type="dxa"/>
            </w:tcMar>
          </w:tcPr>
          <w:p w14:paraId="40E56B2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Methods transparency general</w:t>
            </w:r>
          </w:p>
        </w:tc>
        <w:tc>
          <w:tcPr>
            <w:tcW w:w="1183" w:type="dxa"/>
            <w:tcMar>
              <w:left w:w="70" w:type="dxa"/>
              <w:right w:w="70" w:type="dxa"/>
            </w:tcMar>
          </w:tcPr>
          <w:p w14:paraId="3C4D450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completeness of reporting</w:t>
            </w:r>
          </w:p>
        </w:tc>
        <w:tc>
          <w:tcPr>
            <w:tcW w:w="2570" w:type="dxa"/>
            <w:tcMar>
              <w:left w:w="70" w:type="dxa"/>
              <w:right w:w="70" w:type="dxa"/>
            </w:tcMar>
          </w:tcPr>
          <w:p w14:paraId="7B5F34A0"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Agha (2016), Agha (2017), Barnes (2015), Blanco (2020), Can (2011), Caron (2017; 2 studies),Chow (2018), Cobo (2011), Fernandes (2019), Fuller (2014), Giofre (2017), Giofre (2022), Goldacre (2019), Hopewell (2012), Hopewell (2016), Howell (2015), Ladd (2023), Liu (2022), Meredith (2019), Nguyen (2022), Palmer (2021), Salameh (2019), Speich </w:t>
            </w:r>
            <w:r w:rsidRPr="005A0FC6">
              <w:rPr>
                <w:rFonts w:ascii="Times New Roman" w:eastAsia="Times New Roman" w:hAnsi="Times New Roman" w:cs="Times New Roman"/>
                <w:color w:val="000000" w:themeColor="text1"/>
                <w:sz w:val="18"/>
                <w:szCs w:val="18"/>
              </w:rPr>
              <w:lastRenderedPageBreak/>
              <w:t>(2023), Struthers (2021), Vassar (2020), Veroniki (2021), Walsh (2020)</w:t>
            </w:r>
          </w:p>
        </w:tc>
      </w:tr>
      <w:tr w:rsidR="00E63726" w:rsidRPr="005A0FC6" w14:paraId="1C60AD11" w14:textId="77777777" w:rsidTr="00555A56">
        <w:trPr>
          <w:trHeight w:val="180"/>
        </w:trPr>
        <w:tc>
          <w:tcPr>
            <w:tcW w:w="1157" w:type="dxa"/>
            <w:vMerge/>
            <w:vAlign w:val="center"/>
          </w:tcPr>
          <w:p w14:paraId="66F077E3" w14:textId="77777777" w:rsidR="00E63726" w:rsidRPr="005A0FC6" w:rsidRDefault="00E63726" w:rsidP="00555A56">
            <w:pPr>
              <w:rPr>
                <w:rFonts w:ascii="Times New Roman" w:hAnsi="Times New Roman" w:cs="Times New Roman"/>
                <w:sz w:val="18"/>
                <w:szCs w:val="18"/>
                <w:lang w:val="en-US"/>
              </w:rPr>
            </w:pPr>
          </w:p>
        </w:tc>
        <w:tc>
          <w:tcPr>
            <w:tcW w:w="1977" w:type="dxa"/>
            <w:vMerge/>
            <w:vAlign w:val="center"/>
          </w:tcPr>
          <w:p w14:paraId="32341B07" w14:textId="77777777" w:rsidR="00E63726" w:rsidRPr="005A0FC6" w:rsidRDefault="00E63726" w:rsidP="00555A56">
            <w:pPr>
              <w:rPr>
                <w:rFonts w:ascii="Times New Roman" w:hAnsi="Times New Roman" w:cs="Times New Roman"/>
                <w:sz w:val="18"/>
                <w:szCs w:val="18"/>
                <w:lang w:val="en-US"/>
              </w:rPr>
            </w:pPr>
          </w:p>
        </w:tc>
        <w:tc>
          <w:tcPr>
            <w:tcW w:w="405" w:type="dxa"/>
            <w:vMerge/>
            <w:vAlign w:val="center"/>
          </w:tcPr>
          <w:p w14:paraId="13FDB409" w14:textId="77777777" w:rsidR="00E63726" w:rsidRPr="005A0FC6" w:rsidRDefault="00E63726" w:rsidP="00555A56">
            <w:pPr>
              <w:rPr>
                <w:rFonts w:ascii="Times New Roman" w:hAnsi="Times New Roman" w:cs="Times New Roman"/>
                <w:sz w:val="18"/>
                <w:szCs w:val="18"/>
                <w:lang w:val="en-US"/>
              </w:rPr>
            </w:pPr>
          </w:p>
        </w:tc>
        <w:tc>
          <w:tcPr>
            <w:tcW w:w="1723" w:type="dxa"/>
            <w:vMerge/>
            <w:vAlign w:val="center"/>
          </w:tcPr>
          <w:p w14:paraId="06F0849B" w14:textId="77777777" w:rsidR="00E63726" w:rsidRPr="005A0FC6" w:rsidRDefault="00E63726" w:rsidP="00555A56">
            <w:pPr>
              <w:rPr>
                <w:rFonts w:ascii="Times New Roman" w:hAnsi="Times New Roman" w:cs="Times New Roman"/>
                <w:sz w:val="18"/>
                <w:szCs w:val="18"/>
                <w:lang w:val="en-US"/>
              </w:rPr>
            </w:pPr>
          </w:p>
        </w:tc>
        <w:tc>
          <w:tcPr>
            <w:tcW w:w="1183" w:type="dxa"/>
            <w:tcMar>
              <w:left w:w="70" w:type="dxa"/>
              <w:right w:w="70" w:type="dxa"/>
            </w:tcMar>
          </w:tcPr>
          <w:p w14:paraId="541BDEC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reporting specific elements</w:t>
            </w:r>
          </w:p>
        </w:tc>
        <w:tc>
          <w:tcPr>
            <w:tcW w:w="2570" w:type="dxa"/>
            <w:tcMar>
              <w:left w:w="70" w:type="dxa"/>
              <w:right w:w="70" w:type="dxa"/>
            </w:tcMar>
          </w:tcPr>
          <w:p w14:paraId="4C3EB2D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Audet (2017), Ladd (2023), Sims (2018), Toth (2021)</w:t>
            </w:r>
          </w:p>
        </w:tc>
      </w:tr>
      <w:tr w:rsidR="00E63726" w:rsidRPr="005A0FC6" w14:paraId="056E9937" w14:textId="77777777" w:rsidTr="00555A56">
        <w:trPr>
          <w:trHeight w:val="180"/>
        </w:trPr>
        <w:tc>
          <w:tcPr>
            <w:tcW w:w="1157" w:type="dxa"/>
            <w:tcMar>
              <w:left w:w="70" w:type="dxa"/>
              <w:right w:w="70" w:type="dxa"/>
            </w:tcMar>
            <w:vAlign w:val="center"/>
          </w:tcPr>
          <w:p w14:paraId="43DC246A"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Data</w:t>
            </w:r>
          </w:p>
        </w:tc>
        <w:tc>
          <w:tcPr>
            <w:tcW w:w="1977" w:type="dxa"/>
            <w:tcMar>
              <w:left w:w="70" w:type="dxa"/>
              <w:right w:w="70" w:type="dxa"/>
            </w:tcMar>
            <w:vAlign w:val="center"/>
          </w:tcPr>
          <w:p w14:paraId="6F6DDC08"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Data management plan</w:t>
            </w:r>
          </w:p>
        </w:tc>
        <w:tc>
          <w:tcPr>
            <w:tcW w:w="405" w:type="dxa"/>
            <w:tcMar>
              <w:left w:w="70" w:type="dxa"/>
              <w:right w:w="70" w:type="dxa"/>
            </w:tcMar>
          </w:tcPr>
          <w:p w14:paraId="649F23D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723" w:type="dxa"/>
            <w:tcMar>
              <w:left w:w="70" w:type="dxa"/>
              <w:right w:w="70" w:type="dxa"/>
            </w:tcMar>
          </w:tcPr>
          <w:p w14:paraId="482E5ED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183" w:type="dxa"/>
            <w:tcMar>
              <w:left w:w="70" w:type="dxa"/>
              <w:right w:w="70" w:type="dxa"/>
            </w:tcMar>
          </w:tcPr>
          <w:p w14:paraId="35F974B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2570" w:type="dxa"/>
            <w:tcMar>
              <w:left w:w="70" w:type="dxa"/>
              <w:right w:w="70" w:type="dxa"/>
            </w:tcMar>
          </w:tcPr>
          <w:p w14:paraId="3DFF47B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677ECA22" w14:textId="77777777" w:rsidTr="00555A56">
        <w:trPr>
          <w:trHeight w:val="180"/>
        </w:trPr>
        <w:tc>
          <w:tcPr>
            <w:tcW w:w="1157" w:type="dxa"/>
            <w:vMerge w:val="restart"/>
            <w:tcMar>
              <w:left w:w="70" w:type="dxa"/>
              <w:right w:w="70" w:type="dxa"/>
            </w:tcMar>
          </w:tcPr>
          <w:p w14:paraId="7EF877C4"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Research material sharing</w:t>
            </w:r>
          </w:p>
        </w:tc>
        <w:tc>
          <w:tcPr>
            <w:tcW w:w="1977" w:type="dxa"/>
            <w:tcMar>
              <w:left w:w="70" w:type="dxa"/>
              <w:right w:w="70" w:type="dxa"/>
            </w:tcMar>
            <w:vAlign w:val="center"/>
          </w:tcPr>
          <w:p w14:paraId="1D17A187"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Material sharing</w:t>
            </w:r>
          </w:p>
        </w:tc>
        <w:tc>
          <w:tcPr>
            <w:tcW w:w="405" w:type="dxa"/>
            <w:tcMar>
              <w:left w:w="70" w:type="dxa"/>
              <w:right w:w="70" w:type="dxa"/>
            </w:tcMar>
          </w:tcPr>
          <w:p w14:paraId="2E9C6D5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1</w:t>
            </w:r>
          </w:p>
        </w:tc>
        <w:tc>
          <w:tcPr>
            <w:tcW w:w="1723" w:type="dxa"/>
            <w:tcMar>
              <w:left w:w="70" w:type="dxa"/>
              <w:right w:w="70" w:type="dxa"/>
            </w:tcMar>
          </w:tcPr>
          <w:p w14:paraId="421A9BE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 and material sharing</w:t>
            </w:r>
          </w:p>
        </w:tc>
        <w:tc>
          <w:tcPr>
            <w:tcW w:w="1183" w:type="dxa"/>
            <w:tcMar>
              <w:left w:w="70" w:type="dxa"/>
              <w:right w:w="70" w:type="dxa"/>
            </w:tcMar>
          </w:tcPr>
          <w:p w14:paraId="11DB16A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data-availability</w:t>
            </w:r>
          </w:p>
        </w:tc>
        <w:tc>
          <w:tcPr>
            <w:tcW w:w="2570" w:type="dxa"/>
            <w:tcMar>
              <w:left w:w="70" w:type="dxa"/>
              <w:right w:w="70" w:type="dxa"/>
            </w:tcMar>
          </w:tcPr>
          <w:p w14:paraId="1D01C21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Kidwell (2016)</w:t>
            </w:r>
          </w:p>
        </w:tc>
      </w:tr>
      <w:tr w:rsidR="00E63726" w:rsidRPr="005A0FC6" w14:paraId="069E4BEF" w14:textId="77777777" w:rsidTr="00555A56">
        <w:trPr>
          <w:trHeight w:val="180"/>
        </w:trPr>
        <w:tc>
          <w:tcPr>
            <w:tcW w:w="1157" w:type="dxa"/>
            <w:vMerge/>
            <w:vAlign w:val="center"/>
          </w:tcPr>
          <w:p w14:paraId="061D70E4" w14:textId="77777777" w:rsidR="00E63726" w:rsidRPr="005A0FC6" w:rsidRDefault="00E63726" w:rsidP="00555A56">
            <w:pPr>
              <w:rPr>
                <w:rFonts w:ascii="Times New Roman" w:hAnsi="Times New Roman" w:cs="Times New Roman"/>
                <w:sz w:val="18"/>
                <w:szCs w:val="18"/>
              </w:rPr>
            </w:pPr>
          </w:p>
        </w:tc>
        <w:tc>
          <w:tcPr>
            <w:tcW w:w="1977" w:type="dxa"/>
            <w:vMerge w:val="restart"/>
            <w:tcMar>
              <w:left w:w="70" w:type="dxa"/>
              <w:right w:w="70" w:type="dxa"/>
            </w:tcMar>
          </w:tcPr>
          <w:p w14:paraId="32809BF1"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Data sharing</w:t>
            </w:r>
          </w:p>
        </w:tc>
        <w:tc>
          <w:tcPr>
            <w:tcW w:w="405" w:type="dxa"/>
            <w:tcMar>
              <w:left w:w="70" w:type="dxa"/>
              <w:right w:w="70" w:type="dxa"/>
            </w:tcMar>
          </w:tcPr>
          <w:p w14:paraId="0AEB407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1</w:t>
            </w:r>
          </w:p>
        </w:tc>
        <w:tc>
          <w:tcPr>
            <w:tcW w:w="1723" w:type="dxa"/>
            <w:tcMar>
              <w:left w:w="70" w:type="dxa"/>
              <w:right w:w="70" w:type="dxa"/>
            </w:tcMar>
          </w:tcPr>
          <w:p w14:paraId="7E15263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 sharing and methods transparency</w:t>
            </w:r>
          </w:p>
        </w:tc>
        <w:tc>
          <w:tcPr>
            <w:tcW w:w="1183" w:type="dxa"/>
            <w:tcMar>
              <w:left w:w="70" w:type="dxa"/>
              <w:right w:w="70" w:type="dxa"/>
            </w:tcMar>
          </w:tcPr>
          <w:p w14:paraId="0C67F80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data-availability</w:t>
            </w:r>
          </w:p>
        </w:tc>
        <w:tc>
          <w:tcPr>
            <w:tcW w:w="2570" w:type="dxa"/>
            <w:tcMar>
              <w:left w:w="70" w:type="dxa"/>
              <w:right w:w="70" w:type="dxa"/>
            </w:tcMar>
          </w:tcPr>
          <w:p w14:paraId="0BA2FBB0"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Witwer (2013)</w:t>
            </w:r>
          </w:p>
        </w:tc>
      </w:tr>
      <w:tr w:rsidR="00E63726" w:rsidRPr="005A0FC6" w14:paraId="09FE9759" w14:textId="77777777" w:rsidTr="00555A56">
        <w:trPr>
          <w:trHeight w:val="540"/>
        </w:trPr>
        <w:tc>
          <w:tcPr>
            <w:tcW w:w="1157" w:type="dxa"/>
            <w:vMerge/>
            <w:vAlign w:val="center"/>
          </w:tcPr>
          <w:p w14:paraId="01D3BDC2" w14:textId="77777777" w:rsidR="00E63726" w:rsidRPr="005A0FC6" w:rsidRDefault="00E63726" w:rsidP="00555A56">
            <w:pPr>
              <w:rPr>
                <w:rFonts w:ascii="Times New Roman" w:hAnsi="Times New Roman" w:cs="Times New Roman"/>
                <w:sz w:val="18"/>
                <w:szCs w:val="18"/>
              </w:rPr>
            </w:pPr>
          </w:p>
        </w:tc>
        <w:tc>
          <w:tcPr>
            <w:tcW w:w="1977" w:type="dxa"/>
            <w:vMerge/>
            <w:vAlign w:val="center"/>
          </w:tcPr>
          <w:p w14:paraId="33237C37" w14:textId="77777777" w:rsidR="00E63726" w:rsidRPr="005A0FC6" w:rsidRDefault="00E63726" w:rsidP="00555A56">
            <w:pPr>
              <w:rPr>
                <w:rFonts w:ascii="Times New Roman" w:hAnsi="Times New Roman" w:cs="Times New Roman"/>
                <w:sz w:val="18"/>
                <w:szCs w:val="18"/>
              </w:rPr>
            </w:pPr>
          </w:p>
        </w:tc>
        <w:tc>
          <w:tcPr>
            <w:tcW w:w="405" w:type="dxa"/>
            <w:tcMar>
              <w:left w:w="70" w:type="dxa"/>
              <w:right w:w="70" w:type="dxa"/>
            </w:tcMar>
          </w:tcPr>
          <w:p w14:paraId="7361216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10</w:t>
            </w:r>
          </w:p>
        </w:tc>
        <w:tc>
          <w:tcPr>
            <w:tcW w:w="1723" w:type="dxa"/>
            <w:vMerge w:val="restart"/>
            <w:tcMar>
              <w:left w:w="70" w:type="dxa"/>
              <w:right w:w="70" w:type="dxa"/>
            </w:tcMar>
          </w:tcPr>
          <w:p w14:paraId="704C1C1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 sharing</w:t>
            </w:r>
          </w:p>
        </w:tc>
        <w:tc>
          <w:tcPr>
            <w:tcW w:w="1183" w:type="dxa"/>
            <w:tcMar>
              <w:left w:w="70" w:type="dxa"/>
              <w:right w:w="70" w:type="dxa"/>
            </w:tcMar>
          </w:tcPr>
          <w:p w14:paraId="32DEF2A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data-availability</w:t>
            </w:r>
          </w:p>
        </w:tc>
        <w:tc>
          <w:tcPr>
            <w:tcW w:w="2570" w:type="dxa"/>
            <w:tcMar>
              <w:left w:w="70" w:type="dxa"/>
              <w:right w:w="70" w:type="dxa"/>
            </w:tcMar>
          </w:tcPr>
          <w:p w14:paraId="2E0ED49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Hamilton (2023), Alsheikh-Ali (2011), Bergeat (2022), Giofre (2017), Giofre (2022), Gorman (2020), Magee (2014), Piwowar (2010), Piwowar (2011; 2 studies)</w:t>
            </w:r>
          </w:p>
        </w:tc>
      </w:tr>
      <w:tr w:rsidR="00E63726" w:rsidRPr="005A0FC6" w14:paraId="070EBBB6" w14:textId="77777777" w:rsidTr="00555A56">
        <w:trPr>
          <w:trHeight w:val="540"/>
        </w:trPr>
        <w:tc>
          <w:tcPr>
            <w:tcW w:w="1157" w:type="dxa"/>
            <w:vMerge/>
            <w:vAlign w:val="center"/>
          </w:tcPr>
          <w:p w14:paraId="0700F9CB" w14:textId="77777777" w:rsidR="00E63726" w:rsidRPr="005A0FC6" w:rsidRDefault="00E63726" w:rsidP="00555A56">
            <w:pPr>
              <w:rPr>
                <w:rFonts w:ascii="Times New Roman" w:hAnsi="Times New Roman" w:cs="Times New Roman"/>
                <w:sz w:val="18"/>
                <w:szCs w:val="18"/>
                <w:lang w:val="en-US"/>
              </w:rPr>
            </w:pPr>
          </w:p>
        </w:tc>
        <w:tc>
          <w:tcPr>
            <w:tcW w:w="1977" w:type="dxa"/>
            <w:vMerge/>
            <w:vAlign w:val="center"/>
          </w:tcPr>
          <w:p w14:paraId="4B7B86A9" w14:textId="77777777" w:rsidR="00E63726" w:rsidRPr="005A0FC6" w:rsidRDefault="00E63726" w:rsidP="00555A56">
            <w:pPr>
              <w:rPr>
                <w:rFonts w:ascii="Times New Roman" w:hAnsi="Times New Roman" w:cs="Times New Roman"/>
                <w:sz w:val="18"/>
                <w:szCs w:val="18"/>
                <w:lang w:val="en-US"/>
              </w:rPr>
            </w:pPr>
          </w:p>
        </w:tc>
        <w:tc>
          <w:tcPr>
            <w:tcW w:w="405" w:type="dxa"/>
            <w:tcMar>
              <w:left w:w="70" w:type="dxa"/>
              <w:right w:w="70" w:type="dxa"/>
            </w:tcMar>
          </w:tcPr>
          <w:p w14:paraId="5CE9D7C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12</w:t>
            </w:r>
          </w:p>
        </w:tc>
        <w:tc>
          <w:tcPr>
            <w:tcW w:w="1723" w:type="dxa"/>
            <w:vMerge/>
            <w:vAlign w:val="center"/>
          </w:tcPr>
          <w:p w14:paraId="1208246C" w14:textId="77777777" w:rsidR="00E63726" w:rsidRPr="005A0FC6" w:rsidRDefault="00E63726" w:rsidP="00555A56">
            <w:pPr>
              <w:rPr>
                <w:rFonts w:ascii="Times New Roman" w:hAnsi="Times New Roman" w:cs="Times New Roman"/>
                <w:sz w:val="18"/>
                <w:szCs w:val="18"/>
              </w:rPr>
            </w:pPr>
          </w:p>
        </w:tc>
        <w:tc>
          <w:tcPr>
            <w:tcW w:w="1183" w:type="dxa"/>
            <w:tcMar>
              <w:left w:w="70" w:type="dxa"/>
              <w:right w:w="70" w:type="dxa"/>
            </w:tcMar>
          </w:tcPr>
          <w:p w14:paraId="5D69F40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data-sharing</w:t>
            </w:r>
          </w:p>
        </w:tc>
        <w:tc>
          <w:tcPr>
            <w:tcW w:w="2570" w:type="dxa"/>
            <w:tcMar>
              <w:left w:w="70" w:type="dxa"/>
              <w:right w:w="70" w:type="dxa"/>
            </w:tcMar>
          </w:tcPr>
          <w:p w14:paraId="44C2FA7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Danchev (2021), Hamilton (2022), Haven (2023), Milia (2012), Naudet (2018), Nguyen (2022), Rowhani-Farid (2016; 3 studies), Ruamviboonsuk (2023), Savage (2009), Thelwall (2017)</w:t>
            </w:r>
          </w:p>
        </w:tc>
      </w:tr>
      <w:tr w:rsidR="00E63726" w:rsidRPr="005A0FC6" w14:paraId="52C11A6D" w14:textId="77777777" w:rsidTr="00555A56">
        <w:trPr>
          <w:trHeight w:val="255"/>
        </w:trPr>
        <w:tc>
          <w:tcPr>
            <w:tcW w:w="1157" w:type="dxa"/>
            <w:vMerge/>
            <w:vAlign w:val="center"/>
          </w:tcPr>
          <w:p w14:paraId="5B43F5DB" w14:textId="77777777" w:rsidR="00E63726" w:rsidRPr="005A0FC6" w:rsidRDefault="00E63726" w:rsidP="00555A56">
            <w:pPr>
              <w:rPr>
                <w:rFonts w:ascii="Times New Roman" w:hAnsi="Times New Roman" w:cs="Times New Roman"/>
                <w:sz w:val="18"/>
                <w:szCs w:val="18"/>
                <w:lang w:val="en-US"/>
              </w:rPr>
            </w:pPr>
          </w:p>
        </w:tc>
        <w:tc>
          <w:tcPr>
            <w:tcW w:w="1977" w:type="dxa"/>
            <w:vMerge/>
            <w:vAlign w:val="center"/>
          </w:tcPr>
          <w:p w14:paraId="593BAA00" w14:textId="77777777" w:rsidR="00E63726" w:rsidRPr="005A0FC6" w:rsidRDefault="00E63726" w:rsidP="00555A56">
            <w:pPr>
              <w:rPr>
                <w:rFonts w:ascii="Times New Roman" w:hAnsi="Times New Roman" w:cs="Times New Roman"/>
                <w:sz w:val="18"/>
                <w:szCs w:val="18"/>
                <w:lang w:val="en-US"/>
              </w:rPr>
            </w:pPr>
          </w:p>
        </w:tc>
        <w:tc>
          <w:tcPr>
            <w:tcW w:w="405" w:type="dxa"/>
            <w:tcMar>
              <w:left w:w="70" w:type="dxa"/>
              <w:right w:w="70" w:type="dxa"/>
            </w:tcMar>
          </w:tcPr>
          <w:p w14:paraId="60F59AD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4</w:t>
            </w:r>
          </w:p>
        </w:tc>
        <w:tc>
          <w:tcPr>
            <w:tcW w:w="1723" w:type="dxa"/>
            <w:vMerge/>
            <w:vAlign w:val="center"/>
          </w:tcPr>
          <w:p w14:paraId="4942FA75" w14:textId="77777777" w:rsidR="00E63726" w:rsidRPr="005A0FC6" w:rsidRDefault="00E63726" w:rsidP="00555A56">
            <w:pPr>
              <w:rPr>
                <w:rFonts w:ascii="Times New Roman" w:hAnsi="Times New Roman" w:cs="Times New Roman"/>
                <w:sz w:val="18"/>
                <w:szCs w:val="18"/>
              </w:rPr>
            </w:pPr>
          </w:p>
        </w:tc>
        <w:tc>
          <w:tcPr>
            <w:tcW w:w="1183" w:type="dxa"/>
            <w:tcMar>
              <w:left w:w="70" w:type="dxa"/>
              <w:right w:w="70" w:type="dxa"/>
            </w:tcMar>
          </w:tcPr>
          <w:p w14:paraId="298F431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data-sharing statements</w:t>
            </w:r>
          </w:p>
        </w:tc>
        <w:tc>
          <w:tcPr>
            <w:tcW w:w="2570" w:type="dxa"/>
            <w:tcMar>
              <w:left w:w="70" w:type="dxa"/>
              <w:right w:w="70" w:type="dxa"/>
            </w:tcMar>
          </w:tcPr>
          <w:p w14:paraId="780E2C2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Federer (2018), Hardwicke (2018), Narang (2023), Siebert (2020)</w:t>
            </w:r>
          </w:p>
        </w:tc>
      </w:tr>
      <w:tr w:rsidR="00E63726" w:rsidRPr="005A0FC6" w14:paraId="29EE39C2" w14:textId="77777777" w:rsidTr="00555A56">
        <w:trPr>
          <w:trHeight w:val="180"/>
        </w:trPr>
        <w:tc>
          <w:tcPr>
            <w:tcW w:w="1157" w:type="dxa"/>
            <w:vMerge/>
            <w:vAlign w:val="center"/>
          </w:tcPr>
          <w:p w14:paraId="551FB96A" w14:textId="77777777" w:rsidR="00E63726" w:rsidRPr="005A0FC6" w:rsidRDefault="00E63726" w:rsidP="00555A56">
            <w:pPr>
              <w:rPr>
                <w:rFonts w:ascii="Times New Roman" w:hAnsi="Times New Roman" w:cs="Times New Roman"/>
                <w:sz w:val="18"/>
                <w:szCs w:val="18"/>
              </w:rPr>
            </w:pPr>
          </w:p>
        </w:tc>
        <w:tc>
          <w:tcPr>
            <w:tcW w:w="1977" w:type="dxa"/>
            <w:vMerge/>
            <w:vAlign w:val="center"/>
          </w:tcPr>
          <w:p w14:paraId="3D18EDFA" w14:textId="77777777" w:rsidR="00E63726" w:rsidRPr="005A0FC6" w:rsidRDefault="00E63726" w:rsidP="00555A56">
            <w:pPr>
              <w:rPr>
                <w:rFonts w:ascii="Times New Roman" w:hAnsi="Times New Roman" w:cs="Times New Roman"/>
                <w:sz w:val="18"/>
                <w:szCs w:val="18"/>
              </w:rPr>
            </w:pPr>
          </w:p>
        </w:tc>
        <w:tc>
          <w:tcPr>
            <w:tcW w:w="405" w:type="dxa"/>
            <w:tcMar>
              <w:left w:w="70" w:type="dxa"/>
              <w:right w:w="70" w:type="dxa"/>
            </w:tcMar>
          </w:tcPr>
          <w:p w14:paraId="006E5AD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2</w:t>
            </w:r>
          </w:p>
        </w:tc>
        <w:tc>
          <w:tcPr>
            <w:tcW w:w="1723" w:type="dxa"/>
            <w:tcMar>
              <w:left w:w="70" w:type="dxa"/>
              <w:right w:w="70" w:type="dxa"/>
            </w:tcMar>
          </w:tcPr>
          <w:p w14:paraId="249F23AD"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 and code sharing</w:t>
            </w:r>
          </w:p>
        </w:tc>
        <w:tc>
          <w:tcPr>
            <w:tcW w:w="1183" w:type="dxa"/>
            <w:tcMar>
              <w:left w:w="70" w:type="dxa"/>
              <w:right w:w="70" w:type="dxa"/>
            </w:tcMar>
          </w:tcPr>
          <w:p w14:paraId="0828613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data-availability</w:t>
            </w:r>
          </w:p>
        </w:tc>
        <w:tc>
          <w:tcPr>
            <w:tcW w:w="2570" w:type="dxa"/>
            <w:tcMar>
              <w:left w:w="70" w:type="dxa"/>
              <w:right w:w="70" w:type="dxa"/>
            </w:tcMar>
          </w:tcPr>
          <w:p w14:paraId="1026574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Auspurg (2020), Laurinavichyute (2022)</w:t>
            </w:r>
          </w:p>
        </w:tc>
      </w:tr>
      <w:tr w:rsidR="00E63726" w:rsidRPr="005A0FC6" w14:paraId="27A7ADF2" w14:textId="77777777" w:rsidTr="00555A56">
        <w:trPr>
          <w:trHeight w:val="180"/>
        </w:trPr>
        <w:tc>
          <w:tcPr>
            <w:tcW w:w="1157" w:type="dxa"/>
            <w:vMerge/>
            <w:vAlign w:val="center"/>
          </w:tcPr>
          <w:p w14:paraId="332AA134" w14:textId="77777777" w:rsidR="00E63726" w:rsidRPr="005A0FC6" w:rsidRDefault="00E63726" w:rsidP="00555A56">
            <w:pPr>
              <w:rPr>
                <w:rFonts w:ascii="Times New Roman" w:hAnsi="Times New Roman" w:cs="Times New Roman"/>
                <w:sz w:val="18"/>
                <w:szCs w:val="18"/>
              </w:rPr>
            </w:pPr>
          </w:p>
        </w:tc>
        <w:tc>
          <w:tcPr>
            <w:tcW w:w="1977" w:type="dxa"/>
            <w:tcMar>
              <w:left w:w="70" w:type="dxa"/>
              <w:right w:w="70" w:type="dxa"/>
            </w:tcMar>
            <w:vAlign w:val="center"/>
          </w:tcPr>
          <w:p w14:paraId="0577224C"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Code sharing</w:t>
            </w:r>
          </w:p>
        </w:tc>
        <w:tc>
          <w:tcPr>
            <w:tcW w:w="405" w:type="dxa"/>
            <w:tcMar>
              <w:left w:w="70" w:type="dxa"/>
              <w:right w:w="70" w:type="dxa"/>
            </w:tcMar>
          </w:tcPr>
          <w:p w14:paraId="466B63A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3</w:t>
            </w:r>
          </w:p>
        </w:tc>
        <w:tc>
          <w:tcPr>
            <w:tcW w:w="1723" w:type="dxa"/>
            <w:tcMar>
              <w:left w:w="70" w:type="dxa"/>
              <w:right w:w="70" w:type="dxa"/>
            </w:tcMar>
          </w:tcPr>
          <w:p w14:paraId="20DA31E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Code sharing</w:t>
            </w:r>
          </w:p>
        </w:tc>
        <w:tc>
          <w:tcPr>
            <w:tcW w:w="1183" w:type="dxa"/>
            <w:tcMar>
              <w:left w:w="70" w:type="dxa"/>
              <w:right w:w="70" w:type="dxa"/>
            </w:tcMar>
          </w:tcPr>
          <w:p w14:paraId="6DB855C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code-sharing</w:t>
            </w:r>
          </w:p>
        </w:tc>
        <w:tc>
          <w:tcPr>
            <w:tcW w:w="2570" w:type="dxa"/>
            <w:tcMar>
              <w:left w:w="70" w:type="dxa"/>
              <w:right w:w="70" w:type="dxa"/>
            </w:tcMar>
          </w:tcPr>
          <w:p w14:paraId="53C0D49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Culina (2020), Hamilton (2022), Rowhani-Farid (2018)</w:t>
            </w:r>
          </w:p>
        </w:tc>
      </w:tr>
      <w:tr w:rsidR="00E63726" w:rsidRPr="005A0FC6" w14:paraId="14439C3F" w14:textId="77777777" w:rsidTr="00555A56">
        <w:trPr>
          <w:trHeight w:val="180"/>
        </w:trPr>
        <w:tc>
          <w:tcPr>
            <w:tcW w:w="1157" w:type="dxa"/>
            <w:vMerge/>
            <w:vAlign w:val="center"/>
          </w:tcPr>
          <w:p w14:paraId="66C8ECA3" w14:textId="77777777" w:rsidR="00E63726" w:rsidRPr="005A0FC6" w:rsidRDefault="00E63726" w:rsidP="00555A56">
            <w:pPr>
              <w:rPr>
                <w:rFonts w:ascii="Times New Roman" w:hAnsi="Times New Roman" w:cs="Times New Roman"/>
                <w:sz w:val="18"/>
                <w:szCs w:val="18"/>
              </w:rPr>
            </w:pPr>
          </w:p>
        </w:tc>
        <w:tc>
          <w:tcPr>
            <w:tcW w:w="1977" w:type="dxa"/>
            <w:tcMar>
              <w:left w:w="70" w:type="dxa"/>
              <w:right w:w="70" w:type="dxa"/>
            </w:tcMar>
            <w:vAlign w:val="center"/>
          </w:tcPr>
          <w:p w14:paraId="452B0D3E"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Software sharing</w:t>
            </w:r>
          </w:p>
        </w:tc>
        <w:tc>
          <w:tcPr>
            <w:tcW w:w="405" w:type="dxa"/>
            <w:tcMar>
              <w:left w:w="70" w:type="dxa"/>
              <w:right w:w="70" w:type="dxa"/>
            </w:tcMar>
          </w:tcPr>
          <w:p w14:paraId="1FA7F02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0</w:t>
            </w:r>
          </w:p>
        </w:tc>
        <w:tc>
          <w:tcPr>
            <w:tcW w:w="1723" w:type="dxa"/>
            <w:tcMar>
              <w:left w:w="70" w:type="dxa"/>
              <w:right w:w="70" w:type="dxa"/>
            </w:tcMar>
          </w:tcPr>
          <w:p w14:paraId="08B58A00"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1183" w:type="dxa"/>
            <w:tcMar>
              <w:left w:w="70" w:type="dxa"/>
              <w:right w:w="70" w:type="dxa"/>
            </w:tcMar>
          </w:tcPr>
          <w:p w14:paraId="377BD67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c>
          <w:tcPr>
            <w:tcW w:w="2570" w:type="dxa"/>
            <w:tcMar>
              <w:left w:w="70" w:type="dxa"/>
              <w:right w:w="70" w:type="dxa"/>
            </w:tcMar>
          </w:tcPr>
          <w:p w14:paraId="24DED950"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 xml:space="preserve"> </w:t>
            </w:r>
          </w:p>
        </w:tc>
      </w:tr>
      <w:tr w:rsidR="00E63726" w:rsidRPr="005A0FC6" w14:paraId="7DB85CBE" w14:textId="77777777" w:rsidTr="00555A56">
        <w:trPr>
          <w:trHeight w:val="180"/>
        </w:trPr>
        <w:tc>
          <w:tcPr>
            <w:tcW w:w="1157" w:type="dxa"/>
            <w:vMerge/>
            <w:vAlign w:val="center"/>
          </w:tcPr>
          <w:p w14:paraId="00CDC9A0" w14:textId="77777777" w:rsidR="00E63726" w:rsidRPr="005A0FC6" w:rsidRDefault="00E63726" w:rsidP="00555A56">
            <w:pPr>
              <w:rPr>
                <w:rFonts w:ascii="Times New Roman" w:hAnsi="Times New Roman" w:cs="Times New Roman"/>
                <w:sz w:val="18"/>
                <w:szCs w:val="18"/>
              </w:rPr>
            </w:pPr>
          </w:p>
        </w:tc>
        <w:tc>
          <w:tcPr>
            <w:tcW w:w="1977" w:type="dxa"/>
            <w:tcMar>
              <w:left w:w="70" w:type="dxa"/>
              <w:right w:w="70" w:type="dxa"/>
            </w:tcMar>
            <w:vAlign w:val="center"/>
          </w:tcPr>
          <w:p w14:paraId="71BC9D18"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Research material sharing general</w:t>
            </w:r>
          </w:p>
        </w:tc>
        <w:tc>
          <w:tcPr>
            <w:tcW w:w="405" w:type="dxa"/>
            <w:tcMar>
              <w:left w:w="70" w:type="dxa"/>
              <w:right w:w="70" w:type="dxa"/>
            </w:tcMar>
          </w:tcPr>
          <w:p w14:paraId="6BE394BC"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1</w:t>
            </w:r>
          </w:p>
        </w:tc>
        <w:tc>
          <w:tcPr>
            <w:tcW w:w="1723" w:type="dxa"/>
            <w:tcMar>
              <w:left w:w="70" w:type="dxa"/>
              <w:right w:w="70" w:type="dxa"/>
            </w:tcMar>
          </w:tcPr>
          <w:p w14:paraId="14CDCEC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Research material sharing general</w:t>
            </w:r>
          </w:p>
        </w:tc>
        <w:tc>
          <w:tcPr>
            <w:tcW w:w="1183" w:type="dxa"/>
            <w:tcMar>
              <w:left w:w="70" w:type="dxa"/>
              <w:right w:w="70" w:type="dxa"/>
            </w:tcMar>
          </w:tcPr>
          <w:p w14:paraId="3682AA7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materials sharing</w:t>
            </w:r>
          </w:p>
        </w:tc>
        <w:tc>
          <w:tcPr>
            <w:tcW w:w="2570" w:type="dxa"/>
            <w:tcMar>
              <w:left w:w="70" w:type="dxa"/>
              <w:right w:w="70" w:type="dxa"/>
            </w:tcMar>
          </w:tcPr>
          <w:p w14:paraId="4DD19E7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Krawczyk (2012)</w:t>
            </w:r>
          </w:p>
        </w:tc>
      </w:tr>
      <w:tr w:rsidR="00E63726" w:rsidRPr="005A0FC6" w14:paraId="78CA4CDC" w14:textId="77777777" w:rsidTr="00555A56">
        <w:trPr>
          <w:trHeight w:val="180"/>
        </w:trPr>
        <w:tc>
          <w:tcPr>
            <w:tcW w:w="1157" w:type="dxa"/>
            <w:vMerge w:val="restart"/>
            <w:tcMar>
              <w:left w:w="70" w:type="dxa"/>
              <w:right w:w="70" w:type="dxa"/>
            </w:tcMar>
          </w:tcPr>
          <w:p w14:paraId="24CAE35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Miscellaneous</w:t>
            </w:r>
          </w:p>
        </w:tc>
        <w:tc>
          <w:tcPr>
            <w:tcW w:w="1977" w:type="dxa"/>
            <w:vMerge w:val="restart"/>
            <w:tcMar>
              <w:left w:w="70" w:type="dxa"/>
              <w:right w:w="70" w:type="dxa"/>
            </w:tcMar>
          </w:tcPr>
          <w:p w14:paraId="1680D721" w14:textId="77777777" w:rsidR="00E63726" w:rsidRPr="005A0FC6" w:rsidRDefault="00E63726" w:rsidP="00555A56">
            <w:pPr>
              <w:rPr>
                <w:rFonts w:ascii="Times New Roman" w:eastAsia="Times New Roman" w:hAnsi="Times New Roman" w:cs="Times New Roman"/>
                <w:color w:val="424242"/>
                <w:sz w:val="18"/>
                <w:szCs w:val="18"/>
              </w:rPr>
            </w:pPr>
            <w:r w:rsidRPr="005A0FC6">
              <w:rPr>
                <w:rFonts w:ascii="Times New Roman" w:eastAsia="Times New Roman" w:hAnsi="Times New Roman" w:cs="Times New Roman"/>
                <w:color w:val="424242"/>
                <w:sz w:val="18"/>
                <w:szCs w:val="18"/>
              </w:rPr>
              <w:t>Other</w:t>
            </w:r>
          </w:p>
        </w:tc>
        <w:tc>
          <w:tcPr>
            <w:tcW w:w="405" w:type="dxa"/>
            <w:vMerge w:val="restart"/>
            <w:tcMar>
              <w:left w:w="70" w:type="dxa"/>
              <w:right w:w="70" w:type="dxa"/>
            </w:tcMar>
          </w:tcPr>
          <w:p w14:paraId="67C9C1E3"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16</w:t>
            </w:r>
          </w:p>
        </w:tc>
        <w:tc>
          <w:tcPr>
            <w:tcW w:w="1723" w:type="dxa"/>
            <w:vMerge w:val="restart"/>
            <w:tcMar>
              <w:left w:w="70" w:type="dxa"/>
              <w:right w:w="70" w:type="dxa"/>
            </w:tcMar>
          </w:tcPr>
          <w:p w14:paraId="4220047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Other</w:t>
            </w:r>
          </w:p>
        </w:tc>
        <w:tc>
          <w:tcPr>
            <w:tcW w:w="1183" w:type="dxa"/>
            <w:tcMar>
              <w:left w:w="70" w:type="dxa"/>
              <w:right w:w="70" w:type="dxa"/>
            </w:tcMar>
          </w:tcPr>
          <w:p w14:paraId="6157613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code execution rate</w:t>
            </w:r>
          </w:p>
        </w:tc>
        <w:tc>
          <w:tcPr>
            <w:tcW w:w="2570" w:type="dxa"/>
            <w:tcMar>
              <w:left w:w="70" w:type="dxa"/>
              <w:right w:w="70" w:type="dxa"/>
            </w:tcMar>
          </w:tcPr>
          <w:p w14:paraId="7039E9C6"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Trisovic (2022; 2 studies)</w:t>
            </w:r>
          </w:p>
        </w:tc>
      </w:tr>
      <w:tr w:rsidR="00E63726" w:rsidRPr="005A0FC6" w14:paraId="3CA495DE" w14:textId="77777777" w:rsidTr="00555A56">
        <w:trPr>
          <w:trHeight w:val="180"/>
        </w:trPr>
        <w:tc>
          <w:tcPr>
            <w:tcW w:w="1157" w:type="dxa"/>
            <w:vMerge/>
            <w:vAlign w:val="center"/>
          </w:tcPr>
          <w:p w14:paraId="03F37E8D" w14:textId="77777777" w:rsidR="00E63726" w:rsidRPr="005A0FC6" w:rsidRDefault="00E63726" w:rsidP="00555A56">
            <w:pPr>
              <w:rPr>
                <w:rFonts w:ascii="Times New Roman" w:hAnsi="Times New Roman" w:cs="Times New Roman"/>
                <w:sz w:val="18"/>
                <w:szCs w:val="18"/>
              </w:rPr>
            </w:pPr>
          </w:p>
        </w:tc>
        <w:tc>
          <w:tcPr>
            <w:tcW w:w="1977" w:type="dxa"/>
            <w:vMerge/>
            <w:vAlign w:val="center"/>
          </w:tcPr>
          <w:p w14:paraId="2F4A869E" w14:textId="77777777" w:rsidR="00E63726" w:rsidRPr="005A0FC6" w:rsidRDefault="00E63726" w:rsidP="00555A56">
            <w:pPr>
              <w:rPr>
                <w:rFonts w:ascii="Times New Roman" w:hAnsi="Times New Roman" w:cs="Times New Roman"/>
                <w:sz w:val="18"/>
                <w:szCs w:val="18"/>
              </w:rPr>
            </w:pPr>
          </w:p>
        </w:tc>
        <w:tc>
          <w:tcPr>
            <w:tcW w:w="405" w:type="dxa"/>
            <w:vMerge/>
            <w:vAlign w:val="center"/>
          </w:tcPr>
          <w:p w14:paraId="591B395B" w14:textId="77777777" w:rsidR="00E63726" w:rsidRPr="005A0FC6" w:rsidRDefault="00E63726" w:rsidP="00555A56">
            <w:pPr>
              <w:rPr>
                <w:rFonts w:ascii="Times New Roman" w:hAnsi="Times New Roman" w:cs="Times New Roman"/>
                <w:sz w:val="18"/>
                <w:szCs w:val="18"/>
              </w:rPr>
            </w:pPr>
          </w:p>
        </w:tc>
        <w:tc>
          <w:tcPr>
            <w:tcW w:w="1723" w:type="dxa"/>
            <w:vMerge/>
            <w:vAlign w:val="center"/>
          </w:tcPr>
          <w:p w14:paraId="04744FB9" w14:textId="77777777" w:rsidR="00E63726" w:rsidRPr="005A0FC6" w:rsidRDefault="00E63726" w:rsidP="00555A56">
            <w:pPr>
              <w:rPr>
                <w:rFonts w:ascii="Times New Roman" w:hAnsi="Times New Roman" w:cs="Times New Roman"/>
                <w:sz w:val="18"/>
                <w:szCs w:val="18"/>
              </w:rPr>
            </w:pPr>
          </w:p>
        </w:tc>
        <w:tc>
          <w:tcPr>
            <w:tcW w:w="1183" w:type="dxa"/>
            <w:tcMar>
              <w:left w:w="70" w:type="dxa"/>
              <w:right w:w="70" w:type="dxa"/>
            </w:tcMar>
          </w:tcPr>
          <w:p w14:paraId="7D2322C0"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FAIRness of data</w:t>
            </w:r>
          </w:p>
        </w:tc>
        <w:tc>
          <w:tcPr>
            <w:tcW w:w="2570" w:type="dxa"/>
            <w:tcMar>
              <w:left w:w="70" w:type="dxa"/>
              <w:right w:w="70" w:type="dxa"/>
            </w:tcMar>
          </w:tcPr>
          <w:p w14:paraId="47F928F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Sinaci (2023)</w:t>
            </w:r>
          </w:p>
        </w:tc>
      </w:tr>
      <w:tr w:rsidR="00E63726" w:rsidRPr="005A0FC6" w14:paraId="431D218A" w14:textId="77777777" w:rsidTr="00555A56">
        <w:trPr>
          <w:trHeight w:val="180"/>
        </w:trPr>
        <w:tc>
          <w:tcPr>
            <w:tcW w:w="1157" w:type="dxa"/>
            <w:vMerge/>
            <w:vAlign w:val="center"/>
          </w:tcPr>
          <w:p w14:paraId="11164A35" w14:textId="77777777" w:rsidR="00E63726" w:rsidRPr="005A0FC6" w:rsidRDefault="00E63726" w:rsidP="00555A56">
            <w:pPr>
              <w:rPr>
                <w:rFonts w:ascii="Times New Roman" w:hAnsi="Times New Roman" w:cs="Times New Roman"/>
                <w:sz w:val="18"/>
                <w:szCs w:val="18"/>
              </w:rPr>
            </w:pPr>
          </w:p>
        </w:tc>
        <w:tc>
          <w:tcPr>
            <w:tcW w:w="1977" w:type="dxa"/>
            <w:vMerge/>
            <w:vAlign w:val="center"/>
          </w:tcPr>
          <w:p w14:paraId="1F297D97" w14:textId="77777777" w:rsidR="00E63726" w:rsidRPr="005A0FC6" w:rsidRDefault="00E63726" w:rsidP="00555A56">
            <w:pPr>
              <w:rPr>
                <w:rFonts w:ascii="Times New Roman" w:hAnsi="Times New Roman" w:cs="Times New Roman"/>
                <w:sz w:val="18"/>
                <w:szCs w:val="18"/>
              </w:rPr>
            </w:pPr>
          </w:p>
        </w:tc>
        <w:tc>
          <w:tcPr>
            <w:tcW w:w="405" w:type="dxa"/>
            <w:vMerge/>
            <w:vAlign w:val="center"/>
          </w:tcPr>
          <w:p w14:paraId="15C3D563" w14:textId="77777777" w:rsidR="00E63726" w:rsidRPr="005A0FC6" w:rsidRDefault="00E63726" w:rsidP="00555A56">
            <w:pPr>
              <w:rPr>
                <w:rFonts w:ascii="Times New Roman" w:hAnsi="Times New Roman" w:cs="Times New Roman"/>
                <w:sz w:val="18"/>
                <w:szCs w:val="18"/>
              </w:rPr>
            </w:pPr>
          </w:p>
        </w:tc>
        <w:tc>
          <w:tcPr>
            <w:tcW w:w="1723" w:type="dxa"/>
            <w:vMerge/>
            <w:vAlign w:val="center"/>
          </w:tcPr>
          <w:p w14:paraId="14DDEE0A" w14:textId="77777777" w:rsidR="00E63726" w:rsidRPr="005A0FC6" w:rsidRDefault="00E63726" w:rsidP="00555A56">
            <w:pPr>
              <w:rPr>
                <w:rFonts w:ascii="Times New Roman" w:hAnsi="Times New Roman" w:cs="Times New Roman"/>
                <w:sz w:val="18"/>
                <w:szCs w:val="18"/>
              </w:rPr>
            </w:pPr>
          </w:p>
        </w:tc>
        <w:tc>
          <w:tcPr>
            <w:tcW w:w="1183" w:type="dxa"/>
            <w:tcMar>
              <w:left w:w="70" w:type="dxa"/>
              <w:right w:w="70" w:type="dxa"/>
            </w:tcMar>
          </w:tcPr>
          <w:p w14:paraId="2101BC84"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lessons learned</w:t>
            </w:r>
          </w:p>
        </w:tc>
        <w:tc>
          <w:tcPr>
            <w:tcW w:w="2570" w:type="dxa"/>
            <w:tcMar>
              <w:left w:w="70" w:type="dxa"/>
              <w:right w:w="70" w:type="dxa"/>
            </w:tcMar>
          </w:tcPr>
          <w:p w14:paraId="5AA9E759"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Findley (2016)</w:t>
            </w:r>
          </w:p>
        </w:tc>
      </w:tr>
      <w:tr w:rsidR="00E63726" w:rsidRPr="005A0FC6" w14:paraId="64ED4659" w14:textId="77777777" w:rsidTr="00555A56">
        <w:trPr>
          <w:trHeight w:val="180"/>
        </w:trPr>
        <w:tc>
          <w:tcPr>
            <w:tcW w:w="1157" w:type="dxa"/>
            <w:vMerge/>
            <w:vAlign w:val="center"/>
          </w:tcPr>
          <w:p w14:paraId="4F9C8DAA" w14:textId="77777777" w:rsidR="00E63726" w:rsidRPr="005A0FC6" w:rsidRDefault="00E63726" w:rsidP="00555A56">
            <w:pPr>
              <w:rPr>
                <w:rFonts w:ascii="Times New Roman" w:hAnsi="Times New Roman" w:cs="Times New Roman"/>
                <w:sz w:val="18"/>
                <w:szCs w:val="18"/>
              </w:rPr>
            </w:pPr>
          </w:p>
        </w:tc>
        <w:tc>
          <w:tcPr>
            <w:tcW w:w="1977" w:type="dxa"/>
            <w:vMerge/>
            <w:vAlign w:val="center"/>
          </w:tcPr>
          <w:p w14:paraId="43F38721" w14:textId="77777777" w:rsidR="00E63726" w:rsidRPr="005A0FC6" w:rsidRDefault="00E63726" w:rsidP="00555A56">
            <w:pPr>
              <w:rPr>
                <w:rFonts w:ascii="Times New Roman" w:hAnsi="Times New Roman" w:cs="Times New Roman"/>
                <w:sz w:val="18"/>
                <w:szCs w:val="18"/>
              </w:rPr>
            </w:pPr>
          </w:p>
        </w:tc>
        <w:tc>
          <w:tcPr>
            <w:tcW w:w="405" w:type="dxa"/>
            <w:vMerge/>
            <w:vAlign w:val="center"/>
          </w:tcPr>
          <w:p w14:paraId="7093C4B1" w14:textId="77777777" w:rsidR="00E63726" w:rsidRPr="005A0FC6" w:rsidRDefault="00E63726" w:rsidP="00555A56">
            <w:pPr>
              <w:rPr>
                <w:rFonts w:ascii="Times New Roman" w:hAnsi="Times New Roman" w:cs="Times New Roman"/>
                <w:sz w:val="18"/>
                <w:szCs w:val="18"/>
              </w:rPr>
            </w:pPr>
          </w:p>
        </w:tc>
        <w:tc>
          <w:tcPr>
            <w:tcW w:w="1723" w:type="dxa"/>
            <w:vMerge/>
            <w:vAlign w:val="center"/>
          </w:tcPr>
          <w:p w14:paraId="6FEDB3FB" w14:textId="77777777" w:rsidR="00E63726" w:rsidRPr="005A0FC6" w:rsidRDefault="00E63726" w:rsidP="00555A56">
            <w:pPr>
              <w:rPr>
                <w:rFonts w:ascii="Times New Roman" w:hAnsi="Times New Roman" w:cs="Times New Roman"/>
                <w:sz w:val="18"/>
                <w:szCs w:val="18"/>
              </w:rPr>
            </w:pPr>
          </w:p>
        </w:tc>
        <w:tc>
          <w:tcPr>
            <w:tcW w:w="1183" w:type="dxa"/>
            <w:tcMar>
              <w:left w:w="70" w:type="dxa"/>
              <w:right w:w="70" w:type="dxa"/>
            </w:tcMar>
          </w:tcPr>
          <w:p w14:paraId="0D1EA3CA"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overall quality</w:t>
            </w:r>
          </w:p>
        </w:tc>
        <w:tc>
          <w:tcPr>
            <w:tcW w:w="2570" w:type="dxa"/>
            <w:tcMar>
              <w:left w:w="70" w:type="dxa"/>
              <w:right w:w="70" w:type="dxa"/>
            </w:tcMar>
          </w:tcPr>
          <w:p w14:paraId="6B7E3CBE"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Soderberg (2021)</w:t>
            </w:r>
          </w:p>
        </w:tc>
      </w:tr>
      <w:tr w:rsidR="00E63726" w:rsidRPr="005A0FC6" w14:paraId="30D8DA8F" w14:textId="77777777" w:rsidTr="00555A56">
        <w:trPr>
          <w:trHeight w:val="180"/>
        </w:trPr>
        <w:tc>
          <w:tcPr>
            <w:tcW w:w="1157" w:type="dxa"/>
            <w:vMerge/>
            <w:vAlign w:val="center"/>
          </w:tcPr>
          <w:p w14:paraId="7DB0B1F3" w14:textId="77777777" w:rsidR="00E63726" w:rsidRPr="005A0FC6" w:rsidRDefault="00E63726" w:rsidP="00555A56">
            <w:pPr>
              <w:rPr>
                <w:rFonts w:ascii="Times New Roman" w:hAnsi="Times New Roman" w:cs="Times New Roman"/>
                <w:sz w:val="18"/>
                <w:szCs w:val="18"/>
              </w:rPr>
            </w:pPr>
          </w:p>
        </w:tc>
        <w:tc>
          <w:tcPr>
            <w:tcW w:w="1977" w:type="dxa"/>
            <w:vMerge/>
            <w:vAlign w:val="center"/>
          </w:tcPr>
          <w:p w14:paraId="7EA7AD83" w14:textId="77777777" w:rsidR="00E63726" w:rsidRPr="005A0FC6" w:rsidRDefault="00E63726" w:rsidP="00555A56">
            <w:pPr>
              <w:rPr>
                <w:rFonts w:ascii="Times New Roman" w:hAnsi="Times New Roman" w:cs="Times New Roman"/>
                <w:sz w:val="18"/>
                <w:szCs w:val="18"/>
              </w:rPr>
            </w:pPr>
          </w:p>
        </w:tc>
        <w:tc>
          <w:tcPr>
            <w:tcW w:w="405" w:type="dxa"/>
            <w:vMerge/>
            <w:vAlign w:val="center"/>
          </w:tcPr>
          <w:p w14:paraId="01B86CB6" w14:textId="77777777" w:rsidR="00E63726" w:rsidRPr="005A0FC6" w:rsidRDefault="00E63726" w:rsidP="00555A56">
            <w:pPr>
              <w:rPr>
                <w:rFonts w:ascii="Times New Roman" w:hAnsi="Times New Roman" w:cs="Times New Roman"/>
                <w:sz w:val="18"/>
                <w:szCs w:val="18"/>
              </w:rPr>
            </w:pPr>
          </w:p>
        </w:tc>
        <w:tc>
          <w:tcPr>
            <w:tcW w:w="1723" w:type="dxa"/>
            <w:vMerge/>
            <w:vAlign w:val="center"/>
          </w:tcPr>
          <w:p w14:paraId="1B2F27CF" w14:textId="77777777" w:rsidR="00E63726" w:rsidRPr="005A0FC6" w:rsidRDefault="00E63726" w:rsidP="00555A56">
            <w:pPr>
              <w:rPr>
                <w:rFonts w:ascii="Times New Roman" w:hAnsi="Times New Roman" w:cs="Times New Roman"/>
                <w:sz w:val="18"/>
                <w:szCs w:val="18"/>
              </w:rPr>
            </w:pPr>
          </w:p>
        </w:tc>
        <w:tc>
          <w:tcPr>
            <w:tcW w:w="1183" w:type="dxa"/>
            <w:tcMar>
              <w:left w:w="70" w:type="dxa"/>
              <w:right w:w="70" w:type="dxa"/>
            </w:tcMar>
          </w:tcPr>
          <w:p w14:paraId="7B16F1B0"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self-reported behaviour</w:t>
            </w:r>
          </w:p>
        </w:tc>
        <w:tc>
          <w:tcPr>
            <w:tcW w:w="2570" w:type="dxa"/>
            <w:tcMar>
              <w:left w:w="70" w:type="dxa"/>
              <w:right w:w="70" w:type="dxa"/>
            </w:tcMar>
          </w:tcPr>
          <w:p w14:paraId="3A42D457"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Deardorff (2020)</w:t>
            </w:r>
          </w:p>
        </w:tc>
      </w:tr>
      <w:tr w:rsidR="00E63726" w:rsidRPr="005A0FC6" w14:paraId="579F290F" w14:textId="77777777" w:rsidTr="00555A56">
        <w:trPr>
          <w:trHeight w:val="180"/>
        </w:trPr>
        <w:tc>
          <w:tcPr>
            <w:tcW w:w="1157" w:type="dxa"/>
            <w:vMerge/>
            <w:vAlign w:val="center"/>
          </w:tcPr>
          <w:p w14:paraId="0A456855" w14:textId="77777777" w:rsidR="00E63726" w:rsidRPr="005A0FC6" w:rsidRDefault="00E63726" w:rsidP="00555A56">
            <w:pPr>
              <w:rPr>
                <w:rFonts w:ascii="Times New Roman" w:hAnsi="Times New Roman" w:cs="Times New Roman"/>
                <w:sz w:val="18"/>
                <w:szCs w:val="18"/>
              </w:rPr>
            </w:pPr>
          </w:p>
        </w:tc>
        <w:tc>
          <w:tcPr>
            <w:tcW w:w="1977" w:type="dxa"/>
            <w:vMerge/>
            <w:vAlign w:val="center"/>
          </w:tcPr>
          <w:p w14:paraId="23C04A31" w14:textId="77777777" w:rsidR="00E63726" w:rsidRPr="005A0FC6" w:rsidRDefault="00E63726" w:rsidP="00555A56">
            <w:pPr>
              <w:rPr>
                <w:rFonts w:ascii="Times New Roman" w:hAnsi="Times New Roman" w:cs="Times New Roman"/>
                <w:sz w:val="18"/>
                <w:szCs w:val="18"/>
              </w:rPr>
            </w:pPr>
          </w:p>
        </w:tc>
        <w:tc>
          <w:tcPr>
            <w:tcW w:w="405" w:type="dxa"/>
            <w:vMerge/>
            <w:vAlign w:val="center"/>
          </w:tcPr>
          <w:p w14:paraId="22EAEDF4" w14:textId="77777777" w:rsidR="00E63726" w:rsidRPr="005A0FC6" w:rsidRDefault="00E63726" w:rsidP="00555A56">
            <w:pPr>
              <w:rPr>
                <w:rFonts w:ascii="Times New Roman" w:hAnsi="Times New Roman" w:cs="Times New Roman"/>
                <w:sz w:val="18"/>
                <w:szCs w:val="18"/>
              </w:rPr>
            </w:pPr>
          </w:p>
        </w:tc>
        <w:tc>
          <w:tcPr>
            <w:tcW w:w="1723" w:type="dxa"/>
            <w:vMerge/>
            <w:vAlign w:val="center"/>
          </w:tcPr>
          <w:p w14:paraId="29B76D4D" w14:textId="77777777" w:rsidR="00E63726" w:rsidRPr="005A0FC6" w:rsidRDefault="00E63726" w:rsidP="00555A56">
            <w:pPr>
              <w:rPr>
                <w:rFonts w:ascii="Times New Roman" w:hAnsi="Times New Roman" w:cs="Times New Roman"/>
                <w:sz w:val="18"/>
                <w:szCs w:val="18"/>
              </w:rPr>
            </w:pPr>
          </w:p>
        </w:tc>
        <w:tc>
          <w:tcPr>
            <w:tcW w:w="1183" w:type="dxa"/>
            <w:tcMar>
              <w:left w:w="70" w:type="dxa"/>
              <w:right w:w="70" w:type="dxa"/>
            </w:tcMar>
          </w:tcPr>
          <w:p w14:paraId="7CE8FDA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statistical significance</w:t>
            </w:r>
          </w:p>
        </w:tc>
        <w:tc>
          <w:tcPr>
            <w:tcW w:w="2570" w:type="dxa"/>
            <w:tcMar>
              <w:left w:w="70" w:type="dxa"/>
              <w:right w:w="70" w:type="dxa"/>
            </w:tcMar>
          </w:tcPr>
          <w:p w14:paraId="115727D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Askarov (2022), Blanco-Perez (2020), Gkiouras (2022), Toth (2021)</w:t>
            </w:r>
          </w:p>
        </w:tc>
      </w:tr>
      <w:tr w:rsidR="00E63726" w:rsidRPr="005A0FC6" w14:paraId="206EBC65" w14:textId="77777777" w:rsidTr="00555A56">
        <w:trPr>
          <w:trHeight w:val="180"/>
        </w:trPr>
        <w:tc>
          <w:tcPr>
            <w:tcW w:w="1157" w:type="dxa"/>
            <w:vMerge/>
            <w:vAlign w:val="center"/>
          </w:tcPr>
          <w:p w14:paraId="0FF6FDC4" w14:textId="77777777" w:rsidR="00E63726" w:rsidRPr="005A0FC6" w:rsidRDefault="00E63726" w:rsidP="00555A56">
            <w:pPr>
              <w:rPr>
                <w:rFonts w:ascii="Times New Roman" w:hAnsi="Times New Roman" w:cs="Times New Roman"/>
                <w:sz w:val="18"/>
                <w:szCs w:val="18"/>
              </w:rPr>
            </w:pPr>
          </w:p>
        </w:tc>
        <w:tc>
          <w:tcPr>
            <w:tcW w:w="1977" w:type="dxa"/>
            <w:vMerge/>
            <w:vAlign w:val="center"/>
          </w:tcPr>
          <w:p w14:paraId="11720F77" w14:textId="77777777" w:rsidR="00E63726" w:rsidRPr="005A0FC6" w:rsidRDefault="00E63726" w:rsidP="00555A56">
            <w:pPr>
              <w:rPr>
                <w:rFonts w:ascii="Times New Roman" w:hAnsi="Times New Roman" w:cs="Times New Roman"/>
                <w:sz w:val="18"/>
                <w:szCs w:val="18"/>
              </w:rPr>
            </w:pPr>
          </w:p>
        </w:tc>
        <w:tc>
          <w:tcPr>
            <w:tcW w:w="405" w:type="dxa"/>
            <w:vMerge/>
            <w:vAlign w:val="center"/>
          </w:tcPr>
          <w:p w14:paraId="5FC7F1BD" w14:textId="77777777" w:rsidR="00E63726" w:rsidRPr="005A0FC6" w:rsidRDefault="00E63726" w:rsidP="00555A56">
            <w:pPr>
              <w:rPr>
                <w:rFonts w:ascii="Times New Roman" w:hAnsi="Times New Roman" w:cs="Times New Roman"/>
                <w:sz w:val="18"/>
                <w:szCs w:val="18"/>
              </w:rPr>
            </w:pPr>
          </w:p>
        </w:tc>
        <w:tc>
          <w:tcPr>
            <w:tcW w:w="1723" w:type="dxa"/>
            <w:vMerge/>
            <w:vAlign w:val="center"/>
          </w:tcPr>
          <w:p w14:paraId="1491D1A1" w14:textId="77777777" w:rsidR="00E63726" w:rsidRPr="005A0FC6" w:rsidRDefault="00E63726" w:rsidP="00555A56">
            <w:pPr>
              <w:rPr>
                <w:rFonts w:ascii="Times New Roman" w:hAnsi="Times New Roman" w:cs="Times New Roman"/>
                <w:sz w:val="18"/>
                <w:szCs w:val="18"/>
              </w:rPr>
            </w:pPr>
          </w:p>
        </w:tc>
        <w:tc>
          <w:tcPr>
            <w:tcW w:w="1183" w:type="dxa"/>
            <w:tcMar>
              <w:left w:w="70" w:type="dxa"/>
              <w:right w:w="70" w:type="dxa"/>
            </w:tcMar>
          </w:tcPr>
          <w:p w14:paraId="3923CB88"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trial results published</w:t>
            </w:r>
          </w:p>
        </w:tc>
        <w:tc>
          <w:tcPr>
            <w:tcW w:w="2570" w:type="dxa"/>
            <w:tcMar>
              <w:left w:w="70" w:type="dxa"/>
              <w:right w:w="70" w:type="dxa"/>
            </w:tcMar>
          </w:tcPr>
          <w:p w14:paraId="2D43E32B"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Hardt (2013), Marin (2015), Shamliyan (2014)</w:t>
            </w:r>
          </w:p>
        </w:tc>
      </w:tr>
      <w:tr w:rsidR="00E63726" w:rsidRPr="005A0FC6" w14:paraId="1212D451" w14:textId="77777777" w:rsidTr="00555A56">
        <w:trPr>
          <w:trHeight w:val="180"/>
        </w:trPr>
        <w:tc>
          <w:tcPr>
            <w:tcW w:w="1157" w:type="dxa"/>
            <w:vMerge/>
            <w:vAlign w:val="center"/>
          </w:tcPr>
          <w:p w14:paraId="533E2503" w14:textId="77777777" w:rsidR="00E63726" w:rsidRPr="005A0FC6" w:rsidRDefault="00E63726" w:rsidP="00555A56">
            <w:pPr>
              <w:rPr>
                <w:rFonts w:ascii="Times New Roman" w:hAnsi="Times New Roman" w:cs="Times New Roman"/>
                <w:sz w:val="18"/>
                <w:szCs w:val="18"/>
              </w:rPr>
            </w:pPr>
          </w:p>
        </w:tc>
        <w:tc>
          <w:tcPr>
            <w:tcW w:w="1977" w:type="dxa"/>
            <w:vMerge/>
            <w:vAlign w:val="center"/>
          </w:tcPr>
          <w:p w14:paraId="121ED862" w14:textId="77777777" w:rsidR="00E63726" w:rsidRPr="005A0FC6" w:rsidRDefault="00E63726" w:rsidP="00555A56">
            <w:pPr>
              <w:rPr>
                <w:rFonts w:ascii="Times New Roman" w:hAnsi="Times New Roman" w:cs="Times New Roman"/>
                <w:sz w:val="18"/>
                <w:szCs w:val="18"/>
              </w:rPr>
            </w:pPr>
          </w:p>
        </w:tc>
        <w:tc>
          <w:tcPr>
            <w:tcW w:w="405" w:type="dxa"/>
            <w:vMerge/>
            <w:vAlign w:val="center"/>
          </w:tcPr>
          <w:p w14:paraId="445FD77B" w14:textId="77777777" w:rsidR="00E63726" w:rsidRPr="005A0FC6" w:rsidRDefault="00E63726" w:rsidP="00555A56">
            <w:pPr>
              <w:rPr>
                <w:rFonts w:ascii="Times New Roman" w:hAnsi="Times New Roman" w:cs="Times New Roman"/>
                <w:sz w:val="18"/>
                <w:szCs w:val="18"/>
              </w:rPr>
            </w:pPr>
          </w:p>
        </w:tc>
        <w:tc>
          <w:tcPr>
            <w:tcW w:w="1723" w:type="dxa"/>
            <w:vMerge/>
            <w:vAlign w:val="center"/>
          </w:tcPr>
          <w:p w14:paraId="2BDA6626" w14:textId="77777777" w:rsidR="00E63726" w:rsidRPr="005A0FC6" w:rsidRDefault="00E63726" w:rsidP="00555A56">
            <w:pPr>
              <w:rPr>
                <w:rFonts w:ascii="Times New Roman" w:hAnsi="Times New Roman" w:cs="Times New Roman"/>
                <w:sz w:val="18"/>
                <w:szCs w:val="18"/>
              </w:rPr>
            </w:pPr>
          </w:p>
        </w:tc>
        <w:tc>
          <w:tcPr>
            <w:tcW w:w="1183" w:type="dxa"/>
            <w:tcMar>
              <w:left w:w="70" w:type="dxa"/>
              <w:right w:w="70" w:type="dxa"/>
            </w:tcMar>
          </w:tcPr>
          <w:p w14:paraId="748D78D2"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type I errors</w:t>
            </w:r>
          </w:p>
        </w:tc>
        <w:tc>
          <w:tcPr>
            <w:tcW w:w="2570" w:type="dxa"/>
            <w:tcMar>
              <w:left w:w="70" w:type="dxa"/>
              <w:right w:w="70" w:type="dxa"/>
            </w:tcMar>
          </w:tcPr>
          <w:p w14:paraId="72611941"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Gregori (2013), Gruber (2016)</w:t>
            </w:r>
          </w:p>
        </w:tc>
      </w:tr>
      <w:tr w:rsidR="00E63726" w:rsidRPr="005A0FC6" w14:paraId="6B99E8E7" w14:textId="77777777" w:rsidTr="00555A56">
        <w:trPr>
          <w:trHeight w:val="180"/>
        </w:trPr>
        <w:tc>
          <w:tcPr>
            <w:tcW w:w="1157" w:type="dxa"/>
            <w:vMerge/>
            <w:vAlign w:val="center"/>
          </w:tcPr>
          <w:p w14:paraId="7767EB15" w14:textId="77777777" w:rsidR="00E63726" w:rsidRPr="005A0FC6" w:rsidRDefault="00E63726" w:rsidP="00555A56">
            <w:pPr>
              <w:rPr>
                <w:rFonts w:ascii="Times New Roman" w:hAnsi="Times New Roman" w:cs="Times New Roman"/>
                <w:sz w:val="18"/>
                <w:szCs w:val="18"/>
              </w:rPr>
            </w:pPr>
          </w:p>
        </w:tc>
        <w:tc>
          <w:tcPr>
            <w:tcW w:w="1977" w:type="dxa"/>
            <w:vMerge/>
            <w:vAlign w:val="center"/>
          </w:tcPr>
          <w:p w14:paraId="68B285A7" w14:textId="77777777" w:rsidR="00E63726" w:rsidRPr="005A0FC6" w:rsidRDefault="00E63726" w:rsidP="00555A56">
            <w:pPr>
              <w:rPr>
                <w:rFonts w:ascii="Times New Roman" w:hAnsi="Times New Roman" w:cs="Times New Roman"/>
                <w:sz w:val="18"/>
                <w:szCs w:val="18"/>
              </w:rPr>
            </w:pPr>
          </w:p>
        </w:tc>
        <w:tc>
          <w:tcPr>
            <w:tcW w:w="405" w:type="dxa"/>
            <w:vMerge/>
            <w:vAlign w:val="center"/>
          </w:tcPr>
          <w:p w14:paraId="23BE4FC8" w14:textId="77777777" w:rsidR="00E63726" w:rsidRPr="005A0FC6" w:rsidRDefault="00E63726" w:rsidP="00555A56">
            <w:pPr>
              <w:rPr>
                <w:rFonts w:ascii="Times New Roman" w:hAnsi="Times New Roman" w:cs="Times New Roman"/>
                <w:sz w:val="18"/>
                <w:szCs w:val="18"/>
              </w:rPr>
            </w:pPr>
          </w:p>
        </w:tc>
        <w:tc>
          <w:tcPr>
            <w:tcW w:w="1723" w:type="dxa"/>
            <w:vMerge/>
            <w:vAlign w:val="center"/>
          </w:tcPr>
          <w:p w14:paraId="570765A6" w14:textId="77777777" w:rsidR="00E63726" w:rsidRPr="005A0FC6" w:rsidRDefault="00E63726" w:rsidP="00555A56">
            <w:pPr>
              <w:rPr>
                <w:rFonts w:ascii="Times New Roman" w:hAnsi="Times New Roman" w:cs="Times New Roman"/>
                <w:sz w:val="18"/>
                <w:szCs w:val="18"/>
              </w:rPr>
            </w:pPr>
          </w:p>
        </w:tc>
        <w:tc>
          <w:tcPr>
            <w:tcW w:w="1183" w:type="dxa"/>
            <w:tcMar>
              <w:left w:w="70" w:type="dxa"/>
              <w:right w:w="70" w:type="dxa"/>
            </w:tcMar>
          </w:tcPr>
          <w:p w14:paraId="51D381C5"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type II errors</w:t>
            </w:r>
          </w:p>
        </w:tc>
        <w:tc>
          <w:tcPr>
            <w:tcW w:w="2570" w:type="dxa"/>
            <w:tcMar>
              <w:left w:w="70" w:type="dxa"/>
              <w:right w:w="70" w:type="dxa"/>
            </w:tcMar>
          </w:tcPr>
          <w:p w14:paraId="3A26550F" w14:textId="77777777" w:rsidR="00E63726" w:rsidRPr="005A0FC6" w:rsidRDefault="00E63726" w:rsidP="00555A56">
            <w:pPr>
              <w:rPr>
                <w:rFonts w:ascii="Times New Roman" w:eastAsia="Times New Roman" w:hAnsi="Times New Roman" w:cs="Times New Roman"/>
                <w:color w:val="000000" w:themeColor="text1"/>
                <w:sz w:val="18"/>
                <w:szCs w:val="18"/>
              </w:rPr>
            </w:pPr>
            <w:r w:rsidRPr="005A0FC6">
              <w:rPr>
                <w:rFonts w:ascii="Times New Roman" w:eastAsia="Times New Roman" w:hAnsi="Times New Roman" w:cs="Times New Roman"/>
                <w:color w:val="000000" w:themeColor="text1"/>
                <w:sz w:val="18"/>
                <w:szCs w:val="18"/>
              </w:rPr>
              <w:t>Gruber (2016)</w:t>
            </w:r>
          </w:p>
        </w:tc>
      </w:tr>
    </w:tbl>
    <w:p w14:paraId="0A88D890" w14:textId="77777777" w:rsidR="00E63726" w:rsidRDefault="00E63726" w:rsidP="00E63726">
      <w:pPr>
        <w:spacing w:line="257" w:lineRule="auto"/>
      </w:pPr>
      <w:r w:rsidRPr="7C5BD209">
        <w:rPr>
          <w:rFonts w:ascii="Calibri" w:eastAsia="Calibri" w:hAnsi="Calibri" w:cs="Calibri"/>
        </w:rPr>
        <w:t xml:space="preserve"> </w:t>
      </w:r>
    </w:p>
    <w:p w14:paraId="3EE8BC7E" w14:textId="77777777" w:rsidR="00E63726" w:rsidRDefault="00E63726" w:rsidP="00E63726">
      <w:pPr>
        <w:spacing w:line="257" w:lineRule="auto"/>
      </w:pPr>
      <w:r w:rsidRPr="7C5BD209">
        <w:rPr>
          <w:rFonts w:ascii="Calibri" w:eastAsia="Calibri" w:hAnsi="Calibri" w:cs="Calibri"/>
        </w:rPr>
        <w:t xml:space="preserve"> </w:t>
      </w:r>
    </w:p>
    <w:p w14:paraId="0193FFC0" w14:textId="77777777" w:rsidR="00E63726" w:rsidRDefault="00E63726" w:rsidP="00E63726">
      <w:pPr>
        <w:spacing w:line="257" w:lineRule="auto"/>
      </w:pPr>
    </w:p>
    <w:p w14:paraId="25C7114A" w14:textId="77777777" w:rsidR="00E63726" w:rsidRDefault="00E63726" w:rsidP="00E63726">
      <w:r>
        <w:br w:type="page"/>
      </w:r>
    </w:p>
    <w:p w14:paraId="60EF01A0" w14:textId="77777777" w:rsidR="00E63726" w:rsidRDefault="00E63726" w:rsidP="00E63726">
      <w:pPr>
        <w:pStyle w:val="Kop1"/>
        <w:spacing w:line="257" w:lineRule="auto"/>
      </w:pPr>
      <w:r w:rsidRPr="7C5BD209">
        <w:rPr>
          <w:rFonts w:ascii="Calibri Light" w:eastAsia="Calibri Light" w:hAnsi="Calibri Light" w:cs="Calibri Light"/>
          <w:lang w:val="en-GB"/>
        </w:rPr>
        <w:lastRenderedPageBreak/>
        <w:t xml:space="preserve">6. Explanations of terminology used </w:t>
      </w:r>
    </w:p>
    <w:p w14:paraId="4C1E2FE1" w14:textId="77777777" w:rsidR="00E63726" w:rsidRDefault="00E63726" w:rsidP="00E63726">
      <w:pPr>
        <w:spacing w:line="257" w:lineRule="auto"/>
      </w:pPr>
      <w:r w:rsidRPr="7C5BD209">
        <w:rPr>
          <w:rFonts w:ascii="Calibri" w:eastAsia="Calibri" w:hAnsi="Calibri" w:cs="Calibri"/>
        </w:rPr>
        <w:t xml:space="preserve"> </w:t>
      </w:r>
    </w:p>
    <w:tbl>
      <w:tblPr>
        <w:tblStyle w:val="Tabelraster"/>
        <w:tblW w:w="0" w:type="auto"/>
        <w:tblLayout w:type="fixed"/>
        <w:tblLook w:val="04A0" w:firstRow="1" w:lastRow="0" w:firstColumn="1" w:lastColumn="0" w:noHBand="0" w:noVBand="1"/>
      </w:tblPr>
      <w:tblGrid>
        <w:gridCol w:w="2762"/>
        <w:gridCol w:w="6253"/>
      </w:tblGrid>
      <w:tr w:rsidR="00E63726" w14:paraId="1FEAD26F" w14:textId="77777777" w:rsidTr="00555A56">
        <w:trPr>
          <w:trHeight w:val="525"/>
        </w:trPr>
        <w:tc>
          <w:tcPr>
            <w:tcW w:w="2762" w:type="dxa"/>
            <w:tcBorders>
              <w:top w:val="single" w:sz="8" w:space="0" w:color="auto"/>
              <w:left w:val="single" w:sz="8" w:space="0" w:color="auto"/>
              <w:bottom w:val="single" w:sz="8" w:space="0" w:color="000000" w:themeColor="text1"/>
              <w:right w:val="single" w:sz="8" w:space="0" w:color="000000" w:themeColor="text1"/>
            </w:tcBorders>
            <w:tcMar>
              <w:left w:w="105" w:type="dxa"/>
              <w:right w:w="105" w:type="dxa"/>
            </w:tcMar>
          </w:tcPr>
          <w:p w14:paraId="3D1F9751" w14:textId="77777777" w:rsidR="00E63726" w:rsidRDefault="00E63726" w:rsidP="00555A56">
            <w:pPr>
              <w:spacing w:before="120" w:line="257" w:lineRule="auto"/>
            </w:pPr>
            <w:r w:rsidRPr="7C5BD209">
              <w:rPr>
                <w:rFonts w:ascii="Times New Roman" w:eastAsia="Times New Roman" w:hAnsi="Times New Roman" w:cs="Times New Roman"/>
                <w:b/>
                <w:bCs/>
                <w:color w:val="000000" w:themeColor="text1"/>
                <w:lang w:val="en-US"/>
              </w:rPr>
              <w:t>Term</w:t>
            </w:r>
          </w:p>
        </w:tc>
        <w:tc>
          <w:tcPr>
            <w:tcW w:w="6253" w:type="dxa"/>
            <w:tcBorders>
              <w:top w:val="single" w:sz="8" w:space="0" w:color="auto"/>
              <w:left w:val="single" w:sz="8" w:space="0" w:color="000000" w:themeColor="text1"/>
              <w:bottom w:val="single" w:sz="8" w:space="0" w:color="000000" w:themeColor="text1"/>
              <w:right w:val="single" w:sz="8" w:space="0" w:color="auto"/>
            </w:tcBorders>
            <w:tcMar>
              <w:left w:w="105" w:type="dxa"/>
              <w:right w:w="105" w:type="dxa"/>
            </w:tcMar>
          </w:tcPr>
          <w:p w14:paraId="7FFCCA53" w14:textId="77777777" w:rsidR="00E63726" w:rsidRDefault="00E63726" w:rsidP="00555A56">
            <w:pPr>
              <w:spacing w:before="120" w:line="257" w:lineRule="auto"/>
            </w:pPr>
            <w:r w:rsidRPr="7C5BD209">
              <w:rPr>
                <w:rFonts w:ascii="Times New Roman" w:eastAsia="Times New Roman" w:hAnsi="Times New Roman" w:cs="Times New Roman"/>
                <w:b/>
                <w:bCs/>
                <w:color w:val="000000" w:themeColor="text1"/>
              </w:rPr>
              <w:t>Explanation</w:t>
            </w:r>
          </w:p>
        </w:tc>
      </w:tr>
      <w:tr w:rsidR="00E63726" w:rsidRPr="005A0FC6" w14:paraId="1267BF95" w14:textId="77777777" w:rsidTr="00555A56">
        <w:trPr>
          <w:trHeight w:val="525"/>
        </w:trPr>
        <w:tc>
          <w:tcPr>
            <w:tcW w:w="2762" w:type="dxa"/>
            <w:tcBorders>
              <w:top w:val="single" w:sz="8" w:space="0" w:color="auto"/>
              <w:left w:val="single" w:sz="8" w:space="0" w:color="auto"/>
              <w:bottom w:val="single" w:sz="8" w:space="0" w:color="000000" w:themeColor="text1"/>
              <w:right w:val="single" w:sz="8" w:space="0" w:color="000000" w:themeColor="text1"/>
            </w:tcBorders>
            <w:tcMar>
              <w:left w:w="105" w:type="dxa"/>
              <w:right w:w="105" w:type="dxa"/>
            </w:tcMar>
          </w:tcPr>
          <w:p w14:paraId="0E979E9B" w14:textId="77777777" w:rsidR="00E63726" w:rsidRDefault="00E63726" w:rsidP="00555A56">
            <w:pPr>
              <w:spacing w:line="257" w:lineRule="auto"/>
            </w:pPr>
            <w:r w:rsidRPr="19D72ED3">
              <w:rPr>
                <w:rFonts w:ascii="Times New Roman" w:eastAsia="Times New Roman" w:hAnsi="Times New Roman" w:cs="Times New Roman"/>
                <w:color w:val="000000" w:themeColor="text1"/>
              </w:rPr>
              <w:t>Analysis reproducibility</w:t>
            </w:r>
          </w:p>
        </w:tc>
        <w:tc>
          <w:tcPr>
            <w:tcW w:w="6253" w:type="dxa"/>
            <w:tcBorders>
              <w:top w:val="single" w:sz="8" w:space="0" w:color="auto"/>
              <w:left w:val="single" w:sz="8" w:space="0" w:color="000000" w:themeColor="text1"/>
              <w:bottom w:val="single" w:sz="8" w:space="0" w:color="000000" w:themeColor="text1"/>
              <w:right w:val="single" w:sz="8" w:space="0" w:color="auto"/>
            </w:tcBorders>
            <w:tcMar>
              <w:left w:w="105" w:type="dxa"/>
              <w:right w:w="105" w:type="dxa"/>
            </w:tcMar>
          </w:tcPr>
          <w:p w14:paraId="69AC4F36" w14:textId="77777777" w:rsidR="00E63726" w:rsidRPr="005A0FC6" w:rsidRDefault="00E63726" w:rsidP="00555A56">
            <w:pPr>
              <w:spacing w:line="257" w:lineRule="auto"/>
              <w:rPr>
                <w:lang w:val="en-US"/>
              </w:rPr>
            </w:pPr>
            <w:r w:rsidRPr="19D72ED3">
              <w:rPr>
                <w:rFonts w:ascii="Times New Roman" w:eastAsia="Times New Roman" w:hAnsi="Times New Roman" w:cs="Times New Roman"/>
                <w:color w:val="000000" w:themeColor="text1"/>
              </w:rPr>
              <w:t>Analysis should lead to the same interpretation (European Commission 2022)</w:t>
            </w:r>
          </w:p>
        </w:tc>
      </w:tr>
      <w:tr w:rsidR="00E63726" w:rsidRPr="005A0FC6" w14:paraId="5D074349" w14:textId="77777777" w:rsidTr="00555A56">
        <w:trPr>
          <w:trHeight w:val="525"/>
        </w:trPr>
        <w:tc>
          <w:tcPr>
            <w:tcW w:w="2762" w:type="dxa"/>
            <w:tcBorders>
              <w:top w:val="single" w:sz="8" w:space="0" w:color="auto"/>
              <w:left w:val="single" w:sz="8" w:space="0" w:color="auto"/>
              <w:bottom w:val="single" w:sz="8" w:space="0" w:color="000000" w:themeColor="text1"/>
              <w:right w:val="single" w:sz="8" w:space="0" w:color="000000" w:themeColor="text1"/>
            </w:tcBorders>
            <w:tcMar>
              <w:left w:w="105" w:type="dxa"/>
              <w:right w:w="105" w:type="dxa"/>
            </w:tcMar>
          </w:tcPr>
          <w:p w14:paraId="312D7F5C" w14:textId="77777777" w:rsidR="00E63726" w:rsidRDefault="00E63726" w:rsidP="00555A56">
            <w:pPr>
              <w:spacing w:line="257" w:lineRule="auto"/>
            </w:pPr>
            <w:r w:rsidRPr="19D72ED3">
              <w:rPr>
                <w:rFonts w:ascii="Times New Roman" w:eastAsia="Times New Roman" w:hAnsi="Times New Roman" w:cs="Times New Roman"/>
                <w:color w:val="000000" w:themeColor="text1"/>
              </w:rPr>
              <w:t>Assay reproducibility</w:t>
            </w:r>
          </w:p>
        </w:tc>
        <w:tc>
          <w:tcPr>
            <w:tcW w:w="6253" w:type="dxa"/>
            <w:tcBorders>
              <w:top w:val="single" w:sz="8" w:space="0" w:color="auto"/>
              <w:left w:val="single" w:sz="8" w:space="0" w:color="000000" w:themeColor="text1"/>
              <w:bottom w:val="single" w:sz="8" w:space="0" w:color="000000" w:themeColor="text1"/>
              <w:right w:val="single" w:sz="8" w:space="0" w:color="auto"/>
            </w:tcBorders>
            <w:tcMar>
              <w:left w:w="105" w:type="dxa"/>
              <w:right w:w="105" w:type="dxa"/>
            </w:tcMar>
          </w:tcPr>
          <w:p w14:paraId="397BCA28" w14:textId="77777777" w:rsidR="00E63726" w:rsidRPr="005A0FC6" w:rsidRDefault="00E63726" w:rsidP="00555A56">
            <w:pPr>
              <w:spacing w:line="257" w:lineRule="auto"/>
              <w:rPr>
                <w:lang w:val="en-US"/>
              </w:rPr>
            </w:pPr>
            <w:r w:rsidRPr="19D72ED3">
              <w:rPr>
                <w:rFonts w:ascii="Times New Roman" w:eastAsia="Times New Roman" w:hAnsi="Times New Roman" w:cs="Times New Roman"/>
                <w:color w:val="000000" w:themeColor="text1"/>
              </w:rPr>
              <w:t>Obtain consistent results when testing identical samples in multiple laboratories using the same methods, reagents and controls (Waugh &amp; Clark 2021)</w:t>
            </w:r>
          </w:p>
        </w:tc>
      </w:tr>
      <w:tr w:rsidR="00E63726" w:rsidRPr="005A0FC6" w14:paraId="65B1DF95" w14:textId="77777777" w:rsidTr="00555A56">
        <w:trPr>
          <w:trHeight w:val="525"/>
        </w:trPr>
        <w:tc>
          <w:tcPr>
            <w:tcW w:w="2762" w:type="dxa"/>
            <w:tcBorders>
              <w:top w:val="single" w:sz="8" w:space="0" w:color="auto"/>
              <w:left w:val="single" w:sz="8" w:space="0" w:color="auto"/>
              <w:bottom w:val="single" w:sz="8" w:space="0" w:color="000000" w:themeColor="text1"/>
              <w:right w:val="single" w:sz="8" w:space="0" w:color="000000" w:themeColor="text1"/>
            </w:tcBorders>
            <w:tcMar>
              <w:left w:w="105" w:type="dxa"/>
              <w:right w:w="105" w:type="dxa"/>
            </w:tcMar>
          </w:tcPr>
          <w:p w14:paraId="7AAD30CA" w14:textId="77777777" w:rsidR="00E63726" w:rsidRDefault="00E63726" w:rsidP="00555A56">
            <w:pPr>
              <w:rPr>
                <w:rFonts w:ascii="Times New Roman" w:eastAsia="Times New Roman" w:hAnsi="Times New Roman" w:cs="Times New Roman"/>
                <w:lang w:val="en-US"/>
              </w:rPr>
            </w:pPr>
            <w:r w:rsidRPr="19D72ED3">
              <w:rPr>
                <w:rFonts w:ascii="Times New Roman" w:eastAsia="Times New Roman" w:hAnsi="Times New Roman" w:cs="Times New Roman"/>
                <w:lang w:val="en-US"/>
              </w:rPr>
              <w:t>Code execution rate</w:t>
            </w:r>
          </w:p>
        </w:tc>
        <w:tc>
          <w:tcPr>
            <w:tcW w:w="6253" w:type="dxa"/>
            <w:tcBorders>
              <w:top w:val="single" w:sz="8" w:space="0" w:color="auto"/>
              <w:left w:val="single" w:sz="8" w:space="0" w:color="000000" w:themeColor="text1"/>
              <w:bottom w:val="single" w:sz="8" w:space="0" w:color="000000" w:themeColor="text1"/>
              <w:right w:val="single" w:sz="8" w:space="0" w:color="auto"/>
            </w:tcBorders>
            <w:tcMar>
              <w:left w:w="105" w:type="dxa"/>
              <w:right w:w="105" w:type="dxa"/>
            </w:tcMar>
          </w:tcPr>
          <w:p w14:paraId="6135BD73" w14:textId="77777777" w:rsidR="00E63726" w:rsidRDefault="00E63726" w:rsidP="00555A56">
            <w:pPr>
              <w:rPr>
                <w:rFonts w:ascii="Times New Roman" w:eastAsia="Times New Roman" w:hAnsi="Times New Roman" w:cs="Times New Roman"/>
                <w:lang w:val="en-US"/>
              </w:rPr>
            </w:pPr>
            <w:r w:rsidRPr="19D72ED3">
              <w:rPr>
                <w:rFonts w:ascii="Times New Roman" w:eastAsia="Times New Roman" w:hAnsi="Times New Roman" w:cs="Times New Roman"/>
                <w:lang w:val="en-US"/>
              </w:rPr>
              <w:t xml:space="preserve">The proportion of executed computer code (e.g., R scripts) without an error (Trisovic </w:t>
            </w:r>
            <w:r w:rsidRPr="19D72ED3">
              <w:rPr>
                <w:rFonts w:ascii="Times New Roman" w:eastAsia="Times New Roman" w:hAnsi="Times New Roman" w:cs="Times New Roman"/>
                <w:i/>
                <w:iCs/>
                <w:lang w:val="en-US"/>
              </w:rPr>
              <w:t>et al.</w:t>
            </w:r>
            <w:r w:rsidRPr="19D72ED3">
              <w:rPr>
                <w:rFonts w:ascii="Times New Roman" w:eastAsia="Times New Roman" w:hAnsi="Times New Roman" w:cs="Times New Roman"/>
                <w:lang w:val="en-US"/>
              </w:rPr>
              <w:t xml:space="preserve"> 2022)</w:t>
            </w:r>
          </w:p>
        </w:tc>
      </w:tr>
      <w:tr w:rsidR="00E63726" w:rsidRPr="005A0FC6" w14:paraId="5EF53DFA" w14:textId="77777777" w:rsidTr="00555A56">
        <w:trPr>
          <w:trHeight w:val="525"/>
        </w:trPr>
        <w:tc>
          <w:tcPr>
            <w:tcW w:w="2762" w:type="dxa"/>
            <w:tcBorders>
              <w:top w:val="single" w:sz="8" w:space="0" w:color="auto"/>
              <w:left w:val="single" w:sz="8" w:space="0" w:color="auto"/>
              <w:bottom w:val="single" w:sz="8" w:space="0" w:color="000000" w:themeColor="text1"/>
              <w:right w:val="single" w:sz="8" w:space="0" w:color="000000" w:themeColor="text1"/>
            </w:tcBorders>
            <w:tcMar>
              <w:left w:w="105" w:type="dxa"/>
              <w:right w:w="105" w:type="dxa"/>
            </w:tcMar>
          </w:tcPr>
          <w:p w14:paraId="73DB4C2A" w14:textId="77777777" w:rsidR="00E63726" w:rsidRDefault="00E63726" w:rsidP="00555A56">
            <w:pPr>
              <w:rPr>
                <w:rFonts w:ascii="Times New Roman" w:eastAsia="Times New Roman" w:hAnsi="Times New Roman" w:cs="Times New Roman"/>
                <w:lang w:val="en-US"/>
              </w:rPr>
            </w:pPr>
            <w:r w:rsidRPr="19D72ED3">
              <w:rPr>
                <w:rFonts w:ascii="Times New Roman" w:eastAsia="Times New Roman" w:hAnsi="Times New Roman" w:cs="Times New Roman"/>
                <w:lang w:val="en-US"/>
              </w:rPr>
              <w:t>Completeness of reporting</w:t>
            </w:r>
          </w:p>
        </w:tc>
        <w:tc>
          <w:tcPr>
            <w:tcW w:w="6253" w:type="dxa"/>
            <w:tcBorders>
              <w:top w:val="single" w:sz="8" w:space="0" w:color="auto"/>
              <w:left w:val="single" w:sz="8" w:space="0" w:color="000000" w:themeColor="text1"/>
              <w:bottom w:val="single" w:sz="8" w:space="0" w:color="000000" w:themeColor="text1"/>
              <w:right w:val="single" w:sz="8" w:space="0" w:color="auto"/>
            </w:tcBorders>
            <w:tcMar>
              <w:left w:w="105" w:type="dxa"/>
              <w:right w:w="105" w:type="dxa"/>
            </w:tcMar>
          </w:tcPr>
          <w:p w14:paraId="3F05DCD2" w14:textId="77777777" w:rsidR="00E63726" w:rsidRDefault="00E63726" w:rsidP="00555A56">
            <w:pPr>
              <w:rPr>
                <w:rFonts w:ascii="Times New Roman" w:eastAsia="Times New Roman" w:hAnsi="Times New Roman" w:cs="Times New Roman"/>
                <w:color w:val="000000" w:themeColor="text1"/>
                <w:lang w:val="en-US"/>
              </w:rPr>
            </w:pPr>
            <w:r w:rsidRPr="19D72ED3">
              <w:rPr>
                <w:rFonts w:ascii="Times New Roman" w:eastAsia="Times New Roman" w:hAnsi="Times New Roman" w:cs="Times New Roman"/>
                <w:color w:val="000000" w:themeColor="text1"/>
                <w:lang w:val="en-US"/>
              </w:rPr>
              <w:t>Reporting all elements that are required according to the reporting guidelines or standards</w:t>
            </w:r>
          </w:p>
        </w:tc>
      </w:tr>
      <w:tr w:rsidR="00E63726" w:rsidRPr="005A0FC6" w14:paraId="041B99D8" w14:textId="77777777" w:rsidTr="00555A56">
        <w:trPr>
          <w:trHeight w:val="525"/>
        </w:trPr>
        <w:tc>
          <w:tcPr>
            <w:tcW w:w="2762" w:type="dxa"/>
            <w:tcBorders>
              <w:top w:val="single" w:sz="8" w:space="0" w:color="auto"/>
              <w:left w:val="single" w:sz="8" w:space="0" w:color="auto"/>
              <w:bottom w:val="single" w:sz="8" w:space="0" w:color="000000" w:themeColor="text1"/>
              <w:right w:val="single" w:sz="8" w:space="0" w:color="000000" w:themeColor="text1"/>
            </w:tcBorders>
            <w:tcMar>
              <w:left w:w="105" w:type="dxa"/>
              <w:right w:w="105" w:type="dxa"/>
            </w:tcMar>
          </w:tcPr>
          <w:p w14:paraId="015789EC" w14:textId="77777777" w:rsidR="00E63726" w:rsidRDefault="00E63726" w:rsidP="00555A56">
            <w:pPr>
              <w:spacing w:line="257" w:lineRule="auto"/>
            </w:pPr>
            <w:r w:rsidRPr="19D72ED3">
              <w:rPr>
                <w:rFonts w:ascii="Times New Roman" w:eastAsia="Times New Roman" w:hAnsi="Times New Roman" w:cs="Times New Roman"/>
                <w:color w:val="000000" w:themeColor="text1"/>
              </w:rPr>
              <w:t>Computational reproducibility</w:t>
            </w:r>
          </w:p>
        </w:tc>
        <w:tc>
          <w:tcPr>
            <w:tcW w:w="6253" w:type="dxa"/>
            <w:tcBorders>
              <w:top w:val="single" w:sz="8" w:space="0" w:color="auto"/>
              <w:left w:val="single" w:sz="8" w:space="0" w:color="000000" w:themeColor="text1"/>
              <w:bottom w:val="single" w:sz="8" w:space="0" w:color="000000" w:themeColor="text1"/>
              <w:right w:val="single" w:sz="8" w:space="0" w:color="auto"/>
            </w:tcBorders>
            <w:tcMar>
              <w:left w:w="105" w:type="dxa"/>
              <w:right w:w="105" w:type="dxa"/>
            </w:tcMar>
          </w:tcPr>
          <w:p w14:paraId="1652DE01" w14:textId="77777777" w:rsidR="00E63726" w:rsidRPr="005A0FC6" w:rsidRDefault="00E63726" w:rsidP="00555A56">
            <w:pPr>
              <w:spacing w:line="257" w:lineRule="auto"/>
              <w:rPr>
                <w:lang w:val="en-US"/>
              </w:rPr>
            </w:pPr>
            <w:r w:rsidRPr="19D72ED3">
              <w:rPr>
                <w:rFonts w:ascii="Times New Roman" w:eastAsia="Times New Roman" w:hAnsi="Times New Roman" w:cs="Times New Roman"/>
                <w:color w:val="000000" w:themeColor="text1"/>
              </w:rPr>
              <w:t xml:space="preserve">Obtain the same results using the same input data, computational methods and conditions of analysis (Parsons </w:t>
            </w:r>
            <w:r w:rsidRPr="19D72ED3">
              <w:rPr>
                <w:rFonts w:ascii="Times New Roman" w:eastAsia="Times New Roman" w:hAnsi="Times New Roman" w:cs="Times New Roman"/>
                <w:i/>
                <w:iCs/>
                <w:color w:val="000000" w:themeColor="text1"/>
              </w:rPr>
              <w:t xml:space="preserve">et al. </w:t>
            </w:r>
            <w:r w:rsidRPr="19D72ED3">
              <w:rPr>
                <w:rFonts w:ascii="Times New Roman" w:eastAsia="Times New Roman" w:hAnsi="Times New Roman" w:cs="Times New Roman"/>
                <w:color w:val="000000" w:themeColor="text1"/>
              </w:rPr>
              <w:t>2022)</w:t>
            </w:r>
          </w:p>
        </w:tc>
      </w:tr>
      <w:tr w:rsidR="00E63726" w:rsidRPr="005A0FC6" w14:paraId="7074E760" w14:textId="77777777" w:rsidTr="00555A56">
        <w:trPr>
          <w:trHeight w:val="525"/>
        </w:trPr>
        <w:tc>
          <w:tcPr>
            <w:tcW w:w="2762" w:type="dxa"/>
            <w:tcBorders>
              <w:top w:val="single" w:sz="8" w:space="0" w:color="auto"/>
              <w:left w:val="single" w:sz="8" w:space="0" w:color="auto"/>
              <w:bottom w:val="single" w:sz="8" w:space="0" w:color="000000" w:themeColor="text1"/>
              <w:right w:val="single" w:sz="8" w:space="0" w:color="000000" w:themeColor="text1"/>
            </w:tcBorders>
            <w:tcMar>
              <w:left w:w="105" w:type="dxa"/>
              <w:right w:w="105" w:type="dxa"/>
            </w:tcMar>
          </w:tcPr>
          <w:p w14:paraId="31E9AB67" w14:textId="77777777" w:rsidR="00E63726" w:rsidRDefault="00E63726" w:rsidP="00555A56">
            <w:pPr>
              <w:spacing w:line="257" w:lineRule="auto"/>
            </w:pPr>
            <w:r w:rsidRPr="19D72ED3">
              <w:rPr>
                <w:rFonts w:ascii="Times New Roman" w:eastAsia="Times New Roman" w:hAnsi="Times New Roman" w:cs="Times New Roman"/>
                <w:color w:val="000000" w:themeColor="text1"/>
              </w:rPr>
              <w:t>Conceptual replicability</w:t>
            </w:r>
          </w:p>
        </w:tc>
        <w:tc>
          <w:tcPr>
            <w:tcW w:w="6253" w:type="dxa"/>
            <w:tcBorders>
              <w:top w:val="single" w:sz="8" w:space="0" w:color="auto"/>
              <w:left w:val="single" w:sz="8" w:space="0" w:color="000000" w:themeColor="text1"/>
              <w:bottom w:val="single" w:sz="8" w:space="0" w:color="000000" w:themeColor="text1"/>
              <w:right w:val="single" w:sz="8" w:space="0" w:color="auto"/>
            </w:tcBorders>
            <w:tcMar>
              <w:left w:w="105" w:type="dxa"/>
              <w:right w:w="105" w:type="dxa"/>
            </w:tcMar>
          </w:tcPr>
          <w:p w14:paraId="6C616BE3" w14:textId="77777777" w:rsidR="00E63726" w:rsidRPr="005A0FC6" w:rsidRDefault="00E63726" w:rsidP="00555A56">
            <w:pPr>
              <w:spacing w:line="257" w:lineRule="auto"/>
              <w:rPr>
                <w:lang w:val="en-US"/>
              </w:rPr>
            </w:pPr>
            <w:r w:rsidRPr="19D72ED3">
              <w:rPr>
                <w:rFonts w:ascii="Times New Roman" w:eastAsia="Times New Roman" w:hAnsi="Times New Roman" w:cs="Times New Roman"/>
                <w:color w:val="000000" w:themeColor="text1"/>
              </w:rPr>
              <w:t xml:space="preserve">Evaluate the validity of an effect using a different set of experimental conditions, sample and methods (Parsons </w:t>
            </w:r>
            <w:r w:rsidRPr="19D72ED3">
              <w:rPr>
                <w:rFonts w:ascii="Times New Roman" w:eastAsia="Times New Roman" w:hAnsi="Times New Roman" w:cs="Times New Roman"/>
                <w:i/>
                <w:iCs/>
                <w:color w:val="000000" w:themeColor="text1"/>
              </w:rPr>
              <w:t>et al</w:t>
            </w:r>
            <w:r w:rsidRPr="19D72ED3">
              <w:rPr>
                <w:rFonts w:ascii="Times New Roman" w:eastAsia="Times New Roman" w:hAnsi="Times New Roman" w:cs="Times New Roman"/>
                <w:color w:val="000000" w:themeColor="text1"/>
              </w:rPr>
              <w:t>. 2022)</w:t>
            </w:r>
          </w:p>
        </w:tc>
      </w:tr>
      <w:tr w:rsidR="00E63726" w:rsidRPr="005A0FC6" w14:paraId="0CF246B0" w14:textId="77777777" w:rsidTr="00555A56">
        <w:trPr>
          <w:trHeight w:val="525"/>
        </w:trPr>
        <w:tc>
          <w:tcPr>
            <w:tcW w:w="2762" w:type="dxa"/>
            <w:tcBorders>
              <w:top w:val="single" w:sz="8" w:space="0" w:color="auto"/>
              <w:left w:val="single" w:sz="8" w:space="0" w:color="auto"/>
              <w:bottom w:val="single" w:sz="8" w:space="0" w:color="000000" w:themeColor="text1"/>
              <w:right w:val="single" w:sz="8" w:space="0" w:color="000000" w:themeColor="text1"/>
            </w:tcBorders>
            <w:tcMar>
              <w:left w:w="105" w:type="dxa"/>
              <w:right w:w="105" w:type="dxa"/>
            </w:tcMar>
          </w:tcPr>
          <w:p w14:paraId="4FDD3281" w14:textId="77777777" w:rsidR="00E63726" w:rsidRDefault="00E63726" w:rsidP="00555A56">
            <w:pPr>
              <w:rPr>
                <w:rFonts w:ascii="Times New Roman" w:eastAsia="Times New Roman" w:hAnsi="Times New Roman" w:cs="Times New Roman"/>
                <w:lang w:val="en-US"/>
              </w:rPr>
            </w:pPr>
            <w:r w:rsidRPr="19D72ED3">
              <w:rPr>
                <w:rFonts w:ascii="Times New Roman" w:eastAsia="Times New Roman" w:hAnsi="Times New Roman" w:cs="Times New Roman"/>
                <w:lang w:val="en-US"/>
              </w:rPr>
              <w:t>Data availability</w:t>
            </w:r>
          </w:p>
        </w:tc>
        <w:tc>
          <w:tcPr>
            <w:tcW w:w="6253" w:type="dxa"/>
            <w:tcBorders>
              <w:top w:val="single" w:sz="8" w:space="0" w:color="auto"/>
              <w:left w:val="single" w:sz="8" w:space="0" w:color="000000" w:themeColor="text1"/>
              <w:bottom w:val="single" w:sz="8" w:space="0" w:color="000000" w:themeColor="text1"/>
              <w:right w:val="single" w:sz="8" w:space="0" w:color="auto"/>
            </w:tcBorders>
            <w:tcMar>
              <w:left w:w="105" w:type="dxa"/>
              <w:right w:w="105" w:type="dxa"/>
            </w:tcMar>
          </w:tcPr>
          <w:p w14:paraId="73E7569A" w14:textId="77777777" w:rsidR="00E63726" w:rsidRDefault="00E63726" w:rsidP="00555A56">
            <w:pPr>
              <w:rPr>
                <w:rFonts w:ascii="Times New Roman" w:eastAsia="Times New Roman" w:hAnsi="Times New Roman" w:cs="Times New Roman"/>
                <w:color w:val="000000" w:themeColor="text1"/>
                <w:lang w:val="en-US"/>
              </w:rPr>
            </w:pPr>
            <w:r w:rsidRPr="19D72ED3">
              <w:rPr>
                <w:rFonts w:ascii="Times New Roman" w:eastAsia="Times New Roman" w:hAnsi="Times New Roman" w:cs="Times New Roman"/>
                <w:color w:val="000000" w:themeColor="text1"/>
                <w:lang w:val="en-US"/>
              </w:rPr>
              <w:t>The accessibility and actual availability of the data</w:t>
            </w:r>
          </w:p>
        </w:tc>
      </w:tr>
      <w:tr w:rsidR="00E63726" w:rsidRPr="005A0FC6" w14:paraId="48596B1A" w14:textId="77777777" w:rsidTr="00555A56">
        <w:trPr>
          <w:trHeight w:val="525"/>
        </w:trPr>
        <w:tc>
          <w:tcPr>
            <w:tcW w:w="2762" w:type="dxa"/>
            <w:tcBorders>
              <w:top w:val="single" w:sz="8" w:space="0" w:color="auto"/>
              <w:left w:val="single" w:sz="8" w:space="0" w:color="auto"/>
              <w:bottom w:val="single" w:sz="8" w:space="0" w:color="000000" w:themeColor="text1"/>
              <w:right w:val="single" w:sz="8" w:space="0" w:color="000000" w:themeColor="text1"/>
            </w:tcBorders>
            <w:tcMar>
              <w:left w:w="105" w:type="dxa"/>
              <w:right w:w="105" w:type="dxa"/>
            </w:tcMar>
          </w:tcPr>
          <w:p w14:paraId="458E816A" w14:textId="77777777" w:rsidR="00E63726" w:rsidRDefault="00E63726" w:rsidP="00555A56">
            <w:pPr>
              <w:spacing w:line="257" w:lineRule="auto"/>
            </w:pPr>
            <w:r w:rsidRPr="19D72ED3">
              <w:rPr>
                <w:rFonts w:ascii="Times New Roman" w:eastAsia="Times New Roman" w:hAnsi="Times New Roman" w:cs="Times New Roman"/>
                <w:color w:val="000000" w:themeColor="text1"/>
                <w:lang w:val="en-US"/>
              </w:rPr>
              <w:t>Data management plan</w:t>
            </w:r>
          </w:p>
        </w:tc>
        <w:tc>
          <w:tcPr>
            <w:tcW w:w="6253" w:type="dxa"/>
            <w:tcBorders>
              <w:top w:val="single" w:sz="8" w:space="0" w:color="auto"/>
              <w:left w:val="single" w:sz="8" w:space="0" w:color="000000" w:themeColor="text1"/>
              <w:bottom w:val="single" w:sz="8" w:space="0" w:color="000000" w:themeColor="text1"/>
              <w:right w:val="single" w:sz="8" w:space="0" w:color="auto"/>
            </w:tcBorders>
            <w:tcMar>
              <w:left w:w="105" w:type="dxa"/>
              <w:right w:w="105" w:type="dxa"/>
            </w:tcMar>
          </w:tcPr>
          <w:p w14:paraId="0707912F" w14:textId="77777777" w:rsidR="00E63726" w:rsidRPr="005A0FC6" w:rsidRDefault="00E63726" w:rsidP="00555A56">
            <w:pPr>
              <w:spacing w:line="257" w:lineRule="auto"/>
              <w:rPr>
                <w:lang w:val="en-US"/>
              </w:rPr>
            </w:pPr>
            <w:r w:rsidRPr="19D72ED3">
              <w:rPr>
                <w:rFonts w:ascii="Times New Roman" w:eastAsia="Times New Roman" w:hAnsi="Times New Roman" w:cs="Times New Roman"/>
                <w:color w:val="000000" w:themeColor="text1"/>
                <w:lang w:val="en-US"/>
              </w:rPr>
              <w:t>Plan describing how research data are collected, generated, processed, analyzed and managed</w:t>
            </w:r>
          </w:p>
        </w:tc>
      </w:tr>
      <w:tr w:rsidR="00E63726" w:rsidRPr="005A0FC6" w14:paraId="495F9C23" w14:textId="77777777" w:rsidTr="00555A56">
        <w:trPr>
          <w:trHeight w:val="525"/>
        </w:trPr>
        <w:tc>
          <w:tcPr>
            <w:tcW w:w="2762" w:type="dxa"/>
            <w:tcBorders>
              <w:top w:val="single" w:sz="8" w:space="0" w:color="auto"/>
              <w:left w:val="single" w:sz="8" w:space="0" w:color="auto"/>
              <w:bottom w:val="single" w:sz="8" w:space="0" w:color="000000" w:themeColor="text1"/>
              <w:right w:val="single" w:sz="8" w:space="0" w:color="000000" w:themeColor="text1"/>
            </w:tcBorders>
            <w:tcMar>
              <w:left w:w="105" w:type="dxa"/>
              <w:right w:w="105" w:type="dxa"/>
            </w:tcMar>
          </w:tcPr>
          <w:p w14:paraId="296E92AC" w14:textId="77777777" w:rsidR="00E63726" w:rsidRDefault="00E63726" w:rsidP="00555A56">
            <w:pPr>
              <w:rPr>
                <w:rFonts w:ascii="Times New Roman" w:eastAsia="Times New Roman" w:hAnsi="Times New Roman" w:cs="Times New Roman"/>
                <w:lang w:val="en-US"/>
              </w:rPr>
            </w:pPr>
            <w:r w:rsidRPr="19D72ED3">
              <w:rPr>
                <w:rFonts w:ascii="Times New Roman" w:eastAsia="Times New Roman" w:hAnsi="Times New Roman" w:cs="Times New Roman"/>
                <w:lang w:val="en-US"/>
              </w:rPr>
              <w:t>Data sharing statements</w:t>
            </w:r>
          </w:p>
        </w:tc>
        <w:tc>
          <w:tcPr>
            <w:tcW w:w="6253" w:type="dxa"/>
            <w:tcBorders>
              <w:top w:val="single" w:sz="8" w:space="0" w:color="auto"/>
              <w:left w:val="single" w:sz="8" w:space="0" w:color="000000" w:themeColor="text1"/>
              <w:bottom w:val="single" w:sz="8" w:space="0" w:color="000000" w:themeColor="text1"/>
              <w:right w:val="single" w:sz="8" w:space="0" w:color="auto"/>
            </w:tcBorders>
            <w:tcMar>
              <w:left w:w="105" w:type="dxa"/>
              <w:right w:w="105" w:type="dxa"/>
            </w:tcMar>
          </w:tcPr>
          <w:p w14:paraId="11FD9C3D" w14:textId="77777777" w:rsidR="00E63726" w:rsidRDefault="00E63726" w:rsidP="00555A56">
            <w:pPr>
              <w:rPr>
                <w:rFonts w:ascii="Times New Roman" w:eastAsia="Times New Roman" w:hAnsi="Times New Roman" w:cs="Times New Roman"/>
                <w:color w:val="000000" w:themeColor="text1"/>
                <w:lang w:val="en-US"/>
              </w:rPr>
            </w:pPr>
            <w:r w:rsidRPr="19D72ED3">
              <w:rPr>
                <w:rFonts w:ascii="Times New Roman" w:eastAsia="Times New Roman" w:hAnsi="Times New Roman" w:cs="Times New Roman"/>
                <w:color w:val="000000" w:themeColor="text1"/>
                <w:lang w:val="en-US"/>
              </w:rPr>
              <w:t>A statement in the research report that data are available</w:t>
            </w:r>
          </w:p>
        </w:tc>
      </w:tr>
      <w:tr w:rsidR="00E63726" w:rsidRPr="005A0FC6" w14:paraId="3DB59817" w14:textId="77777777" w:rsidTr="00555A56">
        <w:trPr>
          <w:trHeight w:val="525"/>
        </w:trPr>
        <w:tc>
          <w:tcPr>
            <w:tcW w:w="2762" w:type="dxa"/>
            <w:tcBorders>
              <w:top w:val="single" w:sz="8" w:space="0" w:color="auto"/>
              <w:left w:val="single" w:sz="8" w:space="0" w:color="auto"/>
              <w:bottom w:val="single" w:sz="8" w:space="0" w:color="000000" w:themeColor="text1"/>
              <w:right w:val="single" w:sz="8" w:space="0" w:color="000000" w:themeColor="text1"/>
            </w:tcBorders>
            <w:tcMar>
              <w:left w:w="105" w:type="dxa"/>
              <w:right w:w="105" w:type="dxa"/>
            </w:tcMar>
          </w:tcPr>
          <w:p w14:paraId="73F5CB98" w14:textId="77777777" w:rsidR="00E63726" w:rsidRDefault="00E63726" w:rsidP="00555A56">
            <w:pPr>
              <w:spacing w:line="257" w:lineRule="auto"/>
            </w:pPr>
            <w:r w:rsidRPr="19D72ED3">
              <w:rPr>
                <w:rFonts w:ascii="Times New Roman" w:eastAsia="Times New Roman" w:hAnsi="Times New Roman" w:cs="Times New Roman"/>
                <w:color w:val="000000" w:themeColor="text1"/>
              </w:rPr>
              <w:t>Direct replicability</w:t>
            </w:r>
          </w:p>
        </w:tc>
        <w:tc>
          <w:tcPr>
            <w:tcW w:w="6253" w:type="dxa"/>
            <w:tcBorders>
              <w:top w:val="single" w:sz="8" w:space="0" w:color="auto"/>
              <w:left w:val="single" w:sz="8" w:space="0" w:color="000000" w:themeColor="text1"/>
              <w:bottom w:val="single" w:sz="8" w:space="0" w:color="000000" w:themeColor="text1"/>
              <w:right w:val="single" w:sz="8" w:space="0" w:color="auto"/>
            </w:tcBorders>
            <w:tcMar>
              <w:left w:w="105" w:type="dxa"/>
              <w:right w:w="105" w:type="dxa"/>
            </w:tcMar>
          </w:tcPr>
          <w:p w14:paraId="3790811A" w14:textId="77777777" w:rsidR="00E63726" w:rsidRDefault="00E63726" w:rsidP="00555A56">
            <w:pPr>
              <w:spacing w:line="257" w:lineRule="auto"/>
              <w:rPr>
                <w:rFonts w:ascii="Times New Roman" w:eastAsia="Times New Roman" w:hAnsi="Times New Roman" w:cs="Times New Roman"/>
                <w:color w:val="000000" w:themeColor="text1"/>
              </w:rPr>
            </w:pPr>
            <w:r w:rsidRPr="19D72ED3">
              <w:rPr>
                <w:rFonts w:ascii="Times New Roman" w:eastAsia="Times New Roman" w:hAnsi="Times New Roman" w:cs="Times New Roman"/>
                <w:color w:val="000000" w:themeColor="text1"/>
              </w:rPr>
              <w:t xml:space="preserve">Replicability (see </w:t>
            </w:r>
            <w:r w:rsidRPr="19D72ED3">
              <w:rPr>
                <w:rFonts w:ascii="Times New Roman" w:eastAsia="Times New Roman" w:hAnsi="Times New Roman" w:cs="Times New Roman"/>
                <w:i/>
                <w:iCs/>
                <w:color w:val="000000" w:themeColor="text1"/>
              </w:rPr>
              <w:t>Replicability</w:t>
            </w:r>
            <w:r w:rsidRPr="19D72ED3">
              <w:rPr>
                <w:rFonts w:ascii="Times New Roman" w:eastAsia="Times New Roman" w:hAnsi="Times New Roman" w:cs="Times New Roman"/>
                <w:color w:val="000000" w:themeColor="text1"/>
              </w:rPr>
              <w:t xml:space="preserve"> entry) assessed as a direct outcome of an open science (or other) intervention</w:t>
            </w:r>
          </w:p>
        </w:tc>
      </w:tr>
      <w:tr w:rsidR="00E63726" w:rsidRPr="005A0FC6" w14:paraId="704BC5BE" w14:textId="77777777" w:rsidTr="00555A56">
        <w:trPr>
          <w:trHeight w:val="525"/>
        </w:trPr>
        <w:tc>
          <w:tcPr>
            <w:tcW w:w="2762" w:type="dxa"/>
            <w:tcBorders>
              <w:top w:val="single" w:sz="8" w:space="0" w:color="auto"/>
              <w:left w:val="single" w:sz="8" w:space="0" w:color="auto"/>
              <w:bottom w:val="single" w:sz="8" w:space="0" w:color="000000" w:themeColor="text1"/>
              <w:right w:val="single" w:sz="8" w:space="0" w:color="000000" w:themeColor="text1"/>
            </w:tcBorders>
            <w:tcMar>
              <w:left w:w="105" w:type="dxa"/>
              <w:right w:w="105" w:type="dxa"/>
            </w:tcMar>
          </w:tcPr>
          <w:p w14:paraId="7A98756E" w14:textId="77777777" w:rsidR="00E63726" w:rsidRDefault="00E63726" w:rsidP="00555A56">
            <w:pPr>
              <w:spacing w:line="257" w:lineRule="auto"/>
            </w:pPr>
            <w:r w:rsidRPr="19D72ED3">
              <w:rPr>
                <w:rFonts w:ascii="Times New Roman" w:eastAsia="Times New Roman" w:hAnsi="Times New Roman" w:cs="Times New Roman"/>
                <w:color w:val="000000" w:themeColor="text1"/>
              </w:rPr>
              <w:t>Direct reproducibility</w:t>
            </w:r>
          </w:p>
        </w:tc>
        <w:tc>
          <w:tcPr>
            <w:tcW w:w="6253" w:type="dxa"/>
            <w:tcBorders>
              <w:top w:val="single" w:sz="8" w:space="0" w:color="auto"/>
              <w:left w:val="single" w:sz="8" w:space="0" w:color="000000" w:themeColor="text1"/>
              <w:bottom w:val="single" w:sz="8" w:space="0" w:color="000000" w:themeColor="text1"/>
              <w:right w:val="single" w:sz="8" w:space="0" w:color="auto"/>
            </w:tcBorders>
            <w:tcMar>
              <w:left w:w="105" w:type="dxa"/>
              <w:right w:w="105" w:type="dxa"/>
            </w:tcMar>
          </w:tcPr>
          <w:p w14:paraId="45DDFD50" w14:textId="77777777" w:rsidR="00E63726" w:rsidRDefault="00E63726" w:rsidP="00555A56">
            <w:pPr>
              <w:spacing w:line="257" w:lineRule="auto"/>
              <w:rPr>
                <w:rFonts w:ascii="Times New Roman" w:eastAsia="Times New Roman" w:hAnsi="Times New Roman" w:cs="Times New Roman"/>
                <w:color w:val="000000" w:themeColor="text1"/>
              </w:rPr>
            </w:pPr>
            <w:r w:rsidRPr="19D72ED3">
              <w:rPr>
                <w:rFonts w:ascii="Times New Roman" w:eastAsia="Times New Roman" w:hAnsi="Times New Roman" w:cs="Times New Roman"/>
                <w:color w:val="000000" w:themeColor="text1"/>
              </w:rPr>
              <w:t xml:space="preserve">Reproducibility (see </w:t>
            </w:r>
            <w:r w:rsidRPr="19D72ED3">
              <w:rPr>
                <w:rFonts w:ascii="Times New Roman" w:eastAsia="Times New Roman" w:hAnsi="Times New Roman" w:cs="Times New Roman"/>
                <w:i/>
                <w:iCs/>
                <w:color w:val="000000" w:themeColor="text1"/>
              </w:rPr>
              <w:t>Reproducibility</w:t>
            </w:r>
            <w:r w:rsidRPr="19D72ED3">
              <w:rPr>
                <w:rFonts w:ascii="Times New Roman" w:eastAsia="Times New Roman" w:hAnsi="Times New Roman" w:cs="Times New Roman"/>
                <w:color w:val="000000" w:themeColor="text1"/>
              </w:rPr>
              <w:t xml:space="preserve"> entry) assessed as a direct outcome of an open science (or other) intervention</w:t>
            </w:r>
          </w:p>
        </w:tc>
      </w:tr>
      <w:tr w:rsidR="00E63726" w:rsidRPr="005A0FC6" w14:paraId="3639E2EE" w14:textId="77777777" w:rsidTr="00555A56">
        <w:trPr>
          <w:trHeight w:val="525"/>
        </w:trPr>
        <w:tc>
          <w:tcPr>
            <w:tcW w:w="2762" w:type="dxa"/>
            <w:tcBorders>
              <w:top w:val="single" w:sz="8" w:space="0" w:color="auto"/>
              <w:left w:val="single" w:sz="8" w:space="0" w:color="auto"/>
              <w:bottom w:val="single" w:sz="8" w:space="0" w:color="000000" w:themeColor="text1"/>
              <w:right w:val="single" w:sz="8" w:space="0" w:color="000000" w:themeColor="text1"/>
            </w:tcBorders>
            <w:tcMar>
              <w:left w:w="105" w:type="dxa"/>
              <w:right w:w="105" w:type="dxa"/>
            </w:tcMar>
          </w:tcPr>
          <w:p w14:paraId="25EE0881" w14:textId="77777777" w:rsidR="00E63726" w:rsidRDefault="00E63726" w:rsidP="00555A56">
            <w:pPr>
              <w:rPr>
                <w:rFonts w:ascii="Times New Roman" w:eastAsia="Times New Roman" w:hAnsi="Times New Roman" w:cs="Times New Roman"/>
                <w:lang w:val="en-US"/>
              </w:rPr>
            </w:pPr>
            <w:r w:rsidRPr="19D72ED3">
              <w:rPr>
                <w:rFonts w:ascii="Times New Roman" w:eastAsia="Times New Roman" w:hAnsi="Times New Roman" w:cs="Times New Roman"/>
                <w:lang w:val="en-US"/>
              </w:rPr>
              <w:t>FAIRness of data</w:t>
            </w:r>
          </w:p>
        </w:tc>
        <w:tc>
          <w:tcPr>
            <w:tcW w:w="6253" w:type="dxa"/>
            <w:tcBorders>
              <w:top w:val="single" w:sz="8" w:space="0" w:color="auto"/>
              <w:left w:val="single" w:sz="8" w:space="0" w:color="000000" w:themeColor="text1"/>
              <w:bottom w:val="single" w:sz="8" w:space="0" w:color="000000" w:themeColor="text1"/>
              <w:right w:val="single" w:sz="8" w:space="0" w:color="auto"/>
            </w:tcBorders>
            <w:tcMar>
              <w:left w:w="105" w:type="dxa"/>
              <w:right w:w="105" w:type="dxa"/>
            </w:tcMar>
          </w:tcPr>
          <w:p w14:paraId="37C907B8" w14:textId="77777777" w:rsidR="00E63726" w:rsidRDefault="00E63726" w:rsidP="00555A56">
            <w:pPr>
              <w:rPr>
                <w:rFonts w:ascii="Times New Roman" w:eastAsia="Times New Roman" w:hAnsi="Times New Roman" w:cs="Times New Roman"/>
                <w:lang w:val="en-US"/>
              </w:rPr>
            </w:pPr>
            <w:r w:rsidRPr="19D72ED3">
              <w:rPr>
                <w:rFonts w:ascii="Times New Roman" w:eastAsia="Times New Roman" w:hAnsi="Times New Roman" w:cs="Times New Roman"/>
                <w:lang w:val="en-US"/>
              </w:rPr>
              <w:t xml:space="preserve">Data feature that refers to them as Findable, Accessible, Interoperable and Reusable (Sinaci </w:t>
            </w:r>
            <w:r w:rsidRPr="19D72ED3">
              <w:rPr>
                <w:rFonts w:ascii="Times New Roman" w:eastAsia="Times New Roman" w:hAnsi="Times New Roman" w:cs="Times New Roman"/>
                <w:i/>
                <w:iCs/>
                <w:lang w:val="en-US"/>
              </w:rPr>
              <w:t>et al.</w:t>
            </w:r>
            <w:r w:rsidRPr="19D72ED3">
              <w:rPr>
                <w:rFonts w:ascii="Times New Roman" w:eastAsia="Times New Roman" w:hAnsi="Times New Roman" w:cs="Times New Roman"/>
                <w:lang w:val="en-US"/>
              </w:rPr>
              <w:t xml:space="preserve"> 2023)</w:t>
            </w:r>
          </w:p>
        </w:tc>
      </w:tr>
      <w:tr w:rsidR="00E63726" w:rsidRPr="005A0FC6" w14:paraId="767A01D9" w14:textId="77777777" w:rsidTr="00555A56">
        <w:trPr>
          <w:trHeight w:val="525"/>
        </w:trPr>
        <w:tc>
          <w:tcPr>
            <w:tcW w:w="2762" w:type="dxa"/>
            <w:tcBorders>
              <w:top w:val="single" w:sz="8" w:space="0" w:color="auto"/>
              <w:left w:val="single" w:sz="8" w:space="0" w:color="auto"/>
              <w:bottom w:val="single" w:sz="8" w:space="0" w:color="000000" w:themeColor="text1"/>
              <w:right w:val="single" w:sz="8" w:space="0" w:color="000000" w:themeColor="text1"/>
            </w:tcBorders>
            <w:tcMar>
              <w:left w:w="105" w:type="dxa"/>
              <w:right w:w="105" w:type="dxa"/>
            </w:tcMar>
          </w:tcPr>
          <w:p w14:paraId="65C38A11" w14:textId="77777777" w:rsidR="00E63726" w:rsidRDefault="00E63726" w:rsidP="00555A56">
            <w:pPr>
              <w:spacing w:line="257" w:lineRule="auto"/>
            </w:pPr>
            <w:r w:rsidRPr="19D72ED3">
              <w:rPr>
                <w:rFonts w:ascii="Times New Roman" w:eastAsia="Times New Roman" w:hAnsi="Times New Roman" w:cs="Times New Roman"/>
                <w:color w:val="000000" w:themeColor="text1"/>
                <w:lang w:val="en-US"/>
              </w:rPr>
              <w:t>FAIR principles</w:t>
            </w:r>
          </w:p>
        </w:tc>
        <w:tc>
          <w:tcPr>
            <w:tcW w:w="6253" w:type="dxa"/>
            <w:tcBorders>
              <w:top w:val="single" w:sz="8" w:space="0" w:color="auto"/>
              <w:left w:val="single" w:sz="8" w:space="0" w:color="000000" w:themeColor="text1"/>
              <w:bottom w:val="single" w:sz="8" w:space="0" w:color="000000" w:themeColor="text1"/>
              <w:right w:val="single" w:sz="8" w:space="0" w:color="auto"/>
            </w:tcBorders>
            <w:tcMar>
              <w:left w:w="105" w:type="dxa"/>
              <w:right w:w="105" w:type="dxa"/>
            </w:tcMar>
          </w:tcPr>
          <w:p w14:paraId="1994A491" w14:textId="77777777" w:rsidR="00E63726" w:rsidRPr="005A0FC6" w:rsidRDefault="00E63726" w:rsidP="00555A56">
            <w:pPr>
              <w:spacing w:line="257" w:lineRule="auto"/>
              <w:rPr>
                <w:lang w:val="en-US"/>
              </w:rPr>
            </w:pPr>
            <w:r w:rsidRPr="19D72ED3">
              <w:rPr>
                <w:rFonts w:ascii="Times New Roman" w:eastAsia="Times New Roman" w:hAnsi="Times New Roman" w:cs="Times New Roman"/>
                <w:color w:val="000000" w:themeColor="text1"/>
                <w:lang w:val="en-US"/>
              </w:rPr>
              <w:t xml:space="preserve">Principles to make scholarly material Findable, Accessible, Interoperable and Reusable (FAIR) (Parsons </w:t>
            </w:r>
            <w:r w:rsidRPr="19D72ED3">
              <w:rPr>
                <w:rFonts w:ascii="Times New Roman" w:eastAsia="Times New Roman" w:hAnsi="Times New Roman" w:cs="Times New Roman"/>
                <w:i/>
                <w:iCs/>
                <w:color w:val="000000" w:themeColor="text1"/>
                <w:lang w:val="en-US"/>
              </w:rPr>
              <w:t>et al.</w:t>
            </w:r>
            <w:r w:rsidRPr="19D72ED3">
              <w:rPr>
                <w:rFonts w:ascii="Times New Roman" w:eastAsia="Times New Roman" w:hAnsi="Times New Roman" w:cs="Times New Roman"/>
                <w:color w:val="000000" w:themeColor="text1"/>
                <w:lang w:val="en-US"/>
              </w:rPr>
              <w:t xml:space="preserve"> 2022)</w:t>
            </w:r>
          </w:p>
        </w:tc>
      </w:tr>
      <w:tr w:rsidR="00E63726" w:rsidRPr="005A0FC6" w14:paraId="333737D8" w14:textId="77777777" w:rsidTr="00555A56">
        <w:trPr>
          <w:trHeight w:val="54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41A5E45B" w14:textId="77777777" w:rsidR="00E63726" w:rsidRDefault="00E63726" w:rsidP="00555A56">
            <w:pPr>
              <w:spacing w:line="257" w:lineRule="auto"/>
            </w:pPr>
            <w:r w:rsidRPr="7C5BD209">
              <w:rPr>
                <w:rFonts w:ascii="Times New Roman" w:eastAsia="Times New Roman" w:hAnsi="Times New Roman" w:cs="Times New Roman"/>
                <w:color w:val="000000" w:themeColor="text1"/>
                <w:lang w:val="en-US"/>
              </w:rPr>
              <w:t xml:space="preserve">Inferential reproducibility </w:t>
            </w:r>
          </w:p>
          <w:p w14:paraId="14366116" w14:textId="77777777" w:rsidR="00E63726" w:rsidRDefault="00E63726" w:rsidP="00555A56">
            <w:pPr>
              <w:spacing w:line="257" w:lineRule="auto"/>
            </w:pPr>
            <w:r w:rsidRPr="7C5BD209">
              <w:rPr>
                <w:rFonts w:ascii="Times New Roman" w:eastAsia="Times New Roman" w:hAnsi="Times New Roman" w:cs="Times New Roman"/>
                <w:color w:val="000000" w:themeColor="text1"/>
                <w:lang w:val="en-US"/>
              </w:rPr>
              <w:t xml:space="preserve"> </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05373D4C" w14:textId="77777777" w:rsidR="00E63726" w:rsidRPr="005A0FC6" w:rsidRDefault="00E63726" w:rsidP="00555A56">
            <w:pPr>
              <w:spacing w:line="257" w:lineRule="auto"/>
              <w:rPr>
                <w:lang w:val="en-US"/>
              </w:rPr>
            </w:pPr>
            <w:r w:rsidRPr="7C5BD209">
              <w:rPr>
                <w:rFonts w:ascii="Times New Roman" w:eastAsia="Times New Roman" w:hAnsi="Times New Roman" w:cs="Times New Roman"/>
                <w:color w:val="000000" w:themeColor="text1"/>
                <w:lang w:val="en-US"/>
              </w:rPr>
              <w:t>D</w:t>
            </w:r>
            <w:r w:rsidRPr="7C5BD209">
              <w:rPr>
                <w:rFonts w:ascii="Times New Roman" w:eastAsia="Times New Roman" w:hAnsi="Times New Roman" w:cs="Times New Roman"/>
                <w:color w:val="000000" w:themeColor="text1"/>
              </w:rPr>
              <w:t xml:space="preserve">raw similar conclusions from a reanalysis or replication of a study (Goodman </w:t>
            </w:r>
            <w:r w:rsidRPr="7C5BD209">
              <w:rPr>
                <w:rFonts w:ascii="Times New Roman" w:eastAsia="Times New Roman" w:hAnsi="Times New Roman" w:cs="Times New Roman"/>
                <w:i/>
                <w:iCs/>
                <w:color w:val="000000" w:themeColor="text1"/>
              </w:rPr>
              <w:t>et al</w:t>
            </w:r>
            <w:r w:rsidRPr="7C5BD209">
              <w:rPr>
                <w:rFonts w:ascii="Times New Roman" w:eastAsia="Times New Roman" w:hAnsi="Times New Roman" w:cs="Times New Roman"/>
                <w:color w:val="000000" w:themeColor="text1"/>
              </w:rPr>
              <w:t xml:space="preserve"> 2016)</w:t>
            </w:r>
          </w:p>
        </w:tc>
      </w:tr>
      <w:tr w:rsidR="00E63726" w:rsidRPr="005A0FC6" w14:paraId="6FAA35B9" w14:textId="77777777" w:rsidTr="00555A56">
        <w:trPr>
          <w:trHeight w:val="54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68662BE3" w14:textId="77777777" w:rsidR="00E63726" w:rsidRDefault="00E63726" w:rsidP="00555A56">
            <w:pPr>
              <w:rPr>
                <w:rFonts w:ascii="Times New Roman" w:eastAsia="Times New Roman" w:hAnsi="Times New Roman" w:cs="Times New Roman"/>
                <w:lang w:val="en-US"/>
              </w:rPr>
            </w:pPr>
            <w:r w:rsidRPr="19D72ED3">
              <w:rPr>
                <w:rFonts w:ascii="Times New Roman" w:eastAsia="Times New Roman" w:hAnsi="Times New Roman" w:cs="Times New Roman"/>
                <w:lang w:val="en-US"/>
              </w:rPr>
              <w:t>Lessons learned</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32AE9C2D" w14:textId="77777777" w:rsidR="00E63726" w:rsidRDefault="00E63726" w:rsidP="00555A56">
            <w:pPr>
              <w:rPr>
                <w:rFonts w:ascii="Times New Roman" w:eastAsia="Times New Roman" w:hAnsi="Times New Roman" w:cs="Times New Roman"/>
                <w:lang w:val="en-US"/>
              </w:rPr>
            </w:pPr>
            <w:r w:rsidRPr="19D72ED3">
              <w:rPr>
                <w:rFonts w:ascii="Times New Roman" w:eastAsia="Times New Roman" w:hAnsi="Times New Roman" w:cs="Times New Roman"/>
                <w:lang w:val="en-US"/>
              </w:rPr>
              <w:t xml:space="preserve">Qualitative account of conclusions after an experience or experiment with the purpose of further guidance (Findley </w:t>
            </w:r>
            <w:r w:rsidRPr="19D72ED3">
              <w:rPr>
                <w:rFonts w:ascii="Times New Roman" w:eastAsia="Times New Roman" w:hAnsi="Times New Roman" w:cs="Times New Roman"/>
                <w:i/>
                <w:iCs/>
                <w:lang w:val="en-US"/>
              </w:rPr>
              <w:t>et al.</w:t>
            </w:r>
            <w:r w:rsidRPr="19D72ED3">
              <w:rPr>
                <w:rFonts w:ascii="Times New Roman" w:eastAsia="Times New Roman" w:hAnsi="Times New Roman" w:cs="Times New Roman"/>
                <w:lang w:val="en-US"/>
              </w:rPr>
              <w:t xml:space="preserve"> 2016)</w:t>
            </w:r>
          </w:p>
        </w:tc>
      </w:tr>
      <w:tr w:rsidR="00E63726" w:rsidRPr="005A0FC6" w14:paraId="00D0795A" w14:textId="77777777" w:rsidTr="00555A56">
        <w:trPr>
          <w:trHeight w:val="54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6FDBF011" w14:textId="77777777" w:rsidR="00E63726" w:rsidRDefault="00E63726" w:rsidP="00555A56">
            <w:pPr>
              <w:spacing w:line="257" w:lineRule="auto"/>
            </w:pPr>
            <w:r w:rsidRPr="19D72ED3">
              <w:rPr>
                <w:rFonts w:ascii="Times New Roman" w:eastAsia="Times New Roman" w:hAnsi="Times New Roman" w:cs="Times New Roman"/>
                <w:color w:val="000000" w:themeColor="text1"/>
                <w:lang w:val="en-US"/>
              </w:rPr>
              <w:t>Methodological reproducibility, method reproducibility</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6395B1BD" w14:textId="77777777" w:rsidR="00E63726" w:rsidRPr="005A0FC6" w:rsidRDefault="00E63726" w:rsidP="00555A56">
            <w:pPr>
              <w:spacing w:line="257" w:lineRule="auto"/>
              <w:rPr>
                <w:lang w:val="en-US"/>
              </w:rPr>
            </w:pPr>
            <w:r w:rsidRPr="19D72ED3">
              <w:rPr>
                <w:rFonts w:ascii="Times New Roman" w:eastAsia="Times New Roman" w:hAnsi="Times New Roman" w:cs="Times New Roman"/>
                <w:color w:val="000000" w:themeColor="text1"/>
                <w:lang w:val="en-US"/>
              </w:rPr>
              <w:t>Have enough detail about study procedures and data so the same procedures can be repeated</w:t>
            </w:r>
            <w:r w:rsidRPr="19D72ED3">
              <w:rPr>
                <w:rFonts w:ascii="Times New Roman" w:eastAsia="Times New Roman" w:hAnsi="Times New Roman" w:cs="Times New Roman"/>
                <w:color w:val="000000" w:themeColor="text1"/>
              </w:rPr>
              <w:t xml:space="preserve"> (Goodman </w:t>
            </w:r>
            <w:r w:rsidRPr="19D72ED3">
              <w:rPr>
                <w:rFonts w:ascii="Times New Roman" w:eastAsia="Times New Roman" w:hAnsi="Times New Roman" w:cs="Times New Roman"/>
                <w:i/>
                <w:iCs/>
                <w:color w:val="000000" w:themeColor="text1"/>
              </w:rPr>
              <w:t>et al.</w:t>
            </w:r>
            <w:r w:rsidRPr="19D72ED3">
              <w:rPr>
                <w:rFonts w:ascii="Times New Roman" w:eastAsia="Times New Roman" w:hAnsi="Times New Roman" w:cs="Times New Roman"/>
                <w:color w:val="000000" w:themeColor="text1"/>
              </w:rPr>
              <w:t xml:space="preserve"> 2016)</w:t>
            </w:r>
          </w:p>
        </w:tc>
      </w:tr>
      <w:tr w:rsidR="00E63726" w:rsidRPr="005A0FC6" w14:paraId="44D95476" w14:textId="77777777" w:rsidTr="00555A56">
        <w:trPr>
          <w:trHeight w:val="54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58CC356E" w14:textId="77777777" w:rsidR="00E63726" w:rsidRDefault="00E63726" w:rsidP="00555A56">
            <w:pPr>
              <w:spacing w:line="257" w:lineRule="auto"/>
              <w:rPr>
                <w:rFonts w:ascii="Times New Roman" w:eastAsia="Times New Roman" w:hAnsi="Times New Roman" w:cs="Times New Roman"/>
                <w:color w:val="000000" w:themeColor="text1"/>
                <w:lang w:val="en-US"/>
              </w:rPr>
            </w:pPr>
            <w:r w:rsidRPr="19D72ED3">
              <w:rPr>
                <w:rFonts w:ascii="Times New Roman" w:eastAsia="Times New Roman" w:hAnsi="Times New Roman" w:cs="Times New Roman"/>
                <w:color w:val="000000" w:themeColor="text1"/>
                <w:lang w:val="en-US"/>
              </w:rPr>
              <w:t>Methods transparency</w:t>
            </w:r>
          </w:p>
          <w:p w14:paraId="2D2A9E98" w14:textId="77777777" w:rsidR="00E63726" w:rsidRDefault="00E63726" w:rsidP="005301A1">
            <w:pPr>
              <w:pStyle w:val="Lijstalinea"/>
              <w:numPr>
                <w:ilvl w:val="0"/>
                <w:numId w:val="3"/>
              </w:numPr>
              <w:ind w:left="360"/>
              <w:rPr>
                <w:rFonts w:ascii="Times New Roman" w:eastAsia="Times New Roman" w:hAnsi="Times New Roman" w:cs="Times New Roman"/>
                <w:color w:val="000000" w:themeColor="text1"/>
                <w:lang w:val="en-US"/>
              </w:rPr>
            </w:pPr>
            <w:r w:rsidRPr="19D72ED3">
              <w:rPr>
                <w:rFonts w:ascii="Times New Roman" w:eastAsia="Times New Roman" w:hAnsi="Times New Roman" w:cs="Times New Roman"/>
                <w:color w:val="000000" w:themeColor="text1"/>
                <w:lang w:val="en-US"/>
              </w:rPr>
              <w:t>Analysis transparency</w:t>
            </w:r>
          </w:p>
          <w:p w14:paraId="57130628" w14:textId="77777777" w:rsidR="00E63726" w:rsidRDefault="00E63726" w:rsidP="005301A1">
            <w:pPr>
              <w:pStyle w:val="Lijstalinea"/>
              <w:numPr>
                <w:ilvl w:val="0"/>
                <w:numId w:val="3"/>
              </w:numPr>
              <w:ind w:left="360"/>
              <w:rPr>
                <w:rFonts w:ascii="Times New Roman" w:eastAsia="Times New Roman" w:hAnsi="Times New Roman" w:cs="Times New Roman"/>
                <w:color w:val="000000" w:themeColor="text1"/>
                <w:lang w:val="en-US"/>
              </w:rPr>
            </w:pPr>
            <w:r w:rsidRPr="19D72ED3">
              <w:rPr>
                <w:rFonts w:ascii="Times New Roman" w:eastAsia="Times New Roman" w:hAnsi="Times New Roman" w:cs="Times New Roman"/>
                <w:color w:val="000000" w:themeColor="text1"/>
                <w:lang w:val="en-US"/>
              </w:rPr>
              <w:t>Design transparency</w:t>
            </w:r>
          </w:p>
          <w:p w14:paraId="0FE01DAD" w14:textId="77777777" w:rsidR="00E63726" w:rsidRDefault="00E63726" w:rsidP="005301A1">
            <w:pPr>
              <w:pStyle w:val="Lijstalinea"/>
              <w:numPr>
                <w:ilvl w:val="0"/>
                <w:numId w:val="3"/>
              </w:numPr>
              <w:ind w:left="360"/>
              <w:rPr>
                <w:rFonts w:ascii="Times New Roman" w:eastAsia="Times New Roman" w:hAnsi="Times New Roman" w:cs="Times New Roman"/>
                <w:color w:val="000000" w:themeColor="text1"/>
                <w:lang w:val="en-US"/>
              </w:rPr>
            </w:pPr>
            <w:r w:rsidRPr="19D72ED3">
              <w:rPr>
                <w:rFonts w:ascii="Times New Roman" w:eastAsia="Times New Roman" w:hAnsi="Times New Roman" w:cs="Times New Roman"/>
                <w:color w:val="000000" w:themeColor="text1"/>
                <w:lang w:val="en-US"/>
              </w:rPr>
              <w:t xml:space="preserve">Project workflow transparency </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23DF33F7" w14:textId="77777777" w:rsidR="00E63726" w:rsidRPr="005A0FC6" w:rsidRDefault="00E63726" w:rsidP="00555A56">
            <w:pPr>
              <w:spacing w:line="257" w:lineRule="auto"/>
              <w:rPr>
                <w:lang w:val="en-US"/>
              </w:rPr>
            </w:pPr>
            <w:r w:rsidRPr="19D72ED3">
              <w:rPr>
                <w:rFonts w:ascii="Times New Roman" w:eastAsia="Times New Roman" w:hAnsi="Times New Roman" w:cs="Times New Roman"/>
                <w:color w:val="000000" w:themeColor="text1"/>
              </w:rPr>
              <w:t>Transparent reporting of the methodology in such detail that methods reproducibility is considered feasible, e.g. by adhering to reporting guidelines</w:t>
            </w:r>
          </w:p>
        </w:tc>
      </w:tr>
      <w:tr w:rsidR="00E63726" w:rsidRPr="005A0FC6" w14:paraId="7C3CE6DB" w14:textId="77777777" w:rsidTr="00555A56">
        <w:trPr>
          <w:trHeight w:val="54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608A0284" w14:textId="77777777" w:rsidR="00E63726" w:rsidRDefault="00E63726" w:rsidP="00555A56">
            <w:pPr>
              <w:spacing w:line="257" w:lineRule="auto"/>
            </w:pPr>
            <w:r w:rsidRPr="19D72ED3">
              <w:rPr>
                <w:rFonts w:ascii="Times New Roman" w:eastAsia="Times New Roman" w:hAnsi="Times New Roman" w:cs="Times New Roman"/>
                <w:color w:val="000000" w:themeColor="text1"/>
              </w:rPr>
              <w:t>Outcome reproducibility</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298F5F04" w14:textId="77777777" w:rsidR="00E63726" w:rsidRPr="005A0FC6" w:rsidRDefault="00E63726" w:rsidP="00555A56">
            <w:pPr>
              <w:spacing w:line="257" w:lineRule="auto"/>
              <w:rPr>
                <w:lang w:val="en-US"/>
              </w:rPr>
            </w:pPr>
            <w:r w:rsidRPr="19D72ED3">
              <w:rPr>
                <w:rFonts w:ascii="Times New Roman" w:eastAsia="Times New Roman" w:hAnsi="Times New Roman" w:cs="Times New Roman"/>
                <w:color w:val="000000" w:themeColor="text1"/>
              </w:rPr>
              <w:t>Ability to produce the same outcome as the original experiment (European Commission 2022)</w:t>
            </w:r>
          </w:p>
        </w:tc>
      </w:tr>
      <w:tr w:rsidR="00E63726" w:rsidRPr="005A0FC6" w14:paraId="4031194C" w14:textId="77777777" w:rsidTr="00555A56">
        <w:trPr>
          <w:trHeight w:val="54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4771478F" w14:textId="77777777" w:rsidR="00E63726" w:rsidRDefault="00E63726" w:rsidP="00555A56">
            <w:pPr>
              <w:rPr>
                <w:rFonts w:ascii="Times New Roman" w:eastAsia="Times New Roman" w:hAnsi="Times New Roman" w:cs="Times New Roman"/>
                <w:lang w:val="en-US"/>
              </w:rPr>
            </w:pPr>
            <w:r w:rsidRPr="19D72ED3">
              <w:rPr>
                <w:rFonts w:ascii="Times New Roman" w:eastAsia="Times New Roman" w:hAnsi="Times New Roman" w:cs="Times New Roman"/>
                <w:lang w:val="en-US"/>
              </w:rPr>
              <w:t>Overall paper quality</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5FD31748" w14:textId="77777777" w:rsidR="00E63726" w:rsidRDefault="00E63726" w:rsidP="00555A56">
            <w:pPr>
              <w:rPr>
                <w:rFonts w:ascii="Times New Roman" w:eastAsia="Times New Roman" w:hAnsi="Times New Roman" w:cs="Times New Roman"/>
                <w:lang w:val="en-US"/>
              </w:rPr>
            </w:pPr>
            <w:r w:rsidRPr="19D72ED3">
              <w:rPr>
                <w:rFonts w:ascii="Times New Roman" w:eastAsia="Times New Roman" w:hAnsi="Times New Roman" w:cs="Times New Roman"/>
                <w:lang w:val="en-US"/>
              </w:rPr>
              <w:t xml:space="preserve">Subjective judgment about the overall quality of a research paper (Soderberg </w:t>
            </w:r>
            <w:r w:rsidRPr="19D72ED3">
              <w:rPr>
                <w:rFonts w:ascii="Times New Roman" w:eastAsia="Times New Roman" w:hAnsi="Times New Roman" w:cs="Times New Roman"/>
                <w:i/>
                <w:iCs/>
                <w:lang w:val="en-US"/>
              </w:rPr>
              <w:t>et al.</w:t>
            </w:r>
            <w:r w:rsidRPr="19D72ED3">
              <w:rPr>
                <w:rFonts w:ascii="Times New Roman" w:eastAsia="Times New Roman" w:hAnsi="Times New Roman" w:cs="Times New Roman"/>
                <w:lang w:val="en-US"/>
              </w:rPr>
              <w:t xml:space="preserve"> 2021)</w:t>
            </w:r>
          </w:p>
        </w:tc>
      </w:tr>
      <w:tr w:rsidR="00E63726" w:rsidRPr="005A0FC6" w14:paraId="042865C1" w14:textId="77777777" w:rsidTr="00555A56">
        <w:trPr>
          <w:trHeight w:val="54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36A440EB" w14:textId="77777777" w:rsidR="00E63726" w:rsidRDefault="00E63726" w:rsidP="00555A56">
            <w:pPr>
              <w:spacing w:line="257" w:lineRule="auto"/>
            </w:pPr>
            <w:r w:rsidRPr="19D72ED3">
              <w:rPr>
                <w:rFonts w:ascii="Times New Roman" w:eastAsia="Times New Roman" w:hAnsi="Times New Roman" w:cs="Times New Roman"/>
                <w:color w:val="000000" w:themeColor="text1"/>
                <w:lang w:val="en-US"/>
              </w:rPr>
              <w:lastRenderedPageBreak/>
              <w:t>Pre-registration</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565B35B6" w14:textId="77777777" w:rsidR="00E63726" w:rsidRPr="005A0FC6" w:rsidRDefault="00E63726" w:rsidP="00555A56">
            <w:pPr>
              <w:spacing w:line="257" w:lineRule="auto"/>
              <w:rPr>
                <w:lang w:val="en-US"/>
              </w:rPr>
            </w:pPr>
            <w:r w:rsidRPr="19D72ED3">
              <w:rPr>
                <w:rFonts w:ascii="Times New Roman" w:eastAsia="Times New Roman" w:hAnsi="Times New Roman" w:cs="Times New Roman"/>
                <w:color w:val="000000" w:themeColor="text1"/>
              </w:rPr>
              <w:t xml:space="preserve">Publishing the plan for a study, including research questions and hypotheses, research design and data analysis, before the data have been collected or examined (Parsons </w:t>
            </w:r>
            <w:r w:rsidRPr="19D72ED3">
              <w:rPr>
                <w:rFonts w:ascii="Times New Roman" w:eastAsia="Times New Roman" w:hAnsi="Times New Roman" w:cs="Times New Roman"/>
                <w:i/>
                <w:iCs/>
                <w:color w:val="000000" w:themeColor="text1"/>
              </w:rPr>
              <w:t>et al.</w:t>
            </w:r>
            <w:r w:rsidRPr="19D72ED3">
              <w:rPr>
                <w:rFonts w:ascii="Times New Roman" w:eastAsia="Times New Roman" w:hAnsi="Times New Roman" w:cs="Times New Roman"/>
                <w:color w:val="000000" w:themeColor="text1"/>
              </w:rPr>
              <w:t xml:space="preserve"> 2022)</w:t>
            </w:r>
          </w:p>
        </w:tc>
      </w:tr>
      <w:tr w:rsidR="00E63726" w:rsidRPr="005A0FC6" w14:paraId="7DA3E154" w14:textId="77777777" w:rsidTr="00555A56">
        <w:trPr>
          <w:trHeight w:val="30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1CD46067" w14:textId="77777777" w:rsidR="00E63726" w:rsidRDefault="00E63726" w:rsidP="00555A56">
            <w:pPr>
              <w:spacing w:line="257" w:lineRule="auto"/>
            </w:pPr>
            <w:r w:rsidRPr="7C5BD209">
              <w:rPr>
                <w:rFonts w:ascii="Times New Roman" w:eastAsia="Times New Roman" w:hAnsi="Times New Roman" w:cs="Times New Roman"/>
                <w:color w:val="000000" w:themeColor="text1"/>
                <w:lang w:val="en-US"/>
              </w:rPr>
              <w:t>Process reproducibility</w:t>
            </w:r>
          </w:p>
          <w:p w14:paraId="1A83073E" w14:textId="77777777" w:rsidR="00E63726" w:rsidRDefault="00E63726" w:rsidP="00555A56">
            <w:pPr>
              <w:spacing w:line="257" w:lineRule="auto"/>
            </w:pPr>
            <w:r w:rsidRPr="7C5BD209">
              <w:rPr>
                <w:rFonts w:ascii="Times New Roman" w:eastAsia="Times New Roman" w:hAnsi="Times New Roman" w:cs="Times New Roman"/>
                <w:color w:val="000000" w:themeColor="text1"/>
                <w:lang w:val="en-US"/>
              </w:rPr>
              <w:t xml:space="preserve"> </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2FB9955D" w14:textId="77777777" w:rsidR="00E63726" w:rsidRPr="005A0FC6" w:rsidRDefault="00E63726" w:rsidP="00555A56">
            <w:pPr>
              <w:spacing w:line="257" w:lineRule="auto"/>
              <w:rPr>
                <w:lang w:val="en-US"/>
              </w:rPr>
            </w:pPr>
            <w:r w:rsidRPr="7C5BD209">
              <w:rPr>
                <w:rFonts w:ascii="Times New Roman" w:eastAsia="Times New Roman" w:hAnsi="Times New Roman" w:cs="Times New Roman"/>
                <w:color w:val="000000" w:themeColor="text1"/>
                <w:lang w:val="en-US"/>
              </w:rPr>
              <w:t xml:space="preserve">Repeat the original analysis using the same data and code (Nosek </w:t>
            </w:r>
            <w:r w:rsidRPr="7C5BD209">
              <w:rPr>
                <w:rFonts w:ascii="Times New Roman" w:eastAsia="Times New Roman" w:hAnsi="Times New Roman" w:cs="Times New Roman"/>
                <w:i/>
                <w:iCs/>
                <w:color w:val="000000" w:themeColor="text1"/>
                <w:lang w:val="en-US"/>
              </w:rPr>
              <w:t xml:space="preserve">et al. </w:t>
            </w:r>
            <w:r w:rsidRPr="7C5BD209">
              <w:rPr>
                <w:rFonts w:ascii="Times New Roman" w:eastAsia="Times New Roman" w:hAnsi="Times New Roman" w:cs="Times New Roman"/>
                <w:color w:val="000000" w:themeColor="text1"/>
                <w:lang w:val="en-US"/>
              </w:rPr>
              <w:t>2022)</w:t>
            </w:r>
          </w:p>
        </w:tc>
      </w:tr>
      <w:tr w:rsidR="00E63726" w14:paraId="229CB753" w14:textId="77777777" w:rsidTr="00555A56">
        <w:trPr>
          <w:trHeight w:val="30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13085DD6" w14:textId="77777777" w:rsidR="00E63726" w:rsidRDefault="00E63726" w:rsidP="00555A56">
            <w:pPr>
              <w:spacing w:line="257" w:lineRule="auto"/>
            </w:pPr>
            <w:r w:rsidRPr="19D72ED3">
              <w:rPr>
                <w:rFonts w:ascii="Times New Roman" w:eastAsia="Times New Roman" w:hAnsi="Times New Roman" w:cs="Times New Roman"/>
                <w:color w:val="000000" w:themeColor="text1"/>
                <w:lang w:val="en-US"/>
              </w:rPr>
              <w:t xml:space="preserve">Registered reports  </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43049A35" w14:textId="77777777" w:rsidR="00E63726" w:rsidRDefault="00E63726" w:rsidP="00555A56">
            <w:pPr>
              <w:spacing w:line="257" w:lineRule="auto"/>
            </w:pPr>
            <w:r w:rsidRPr="19D72ED3">
              <w:rPr>
                <w:rFonts w:ascii="Times New Roman" w:eastAsia="Times New Roman" w:hAnsi="Times New Roman" w:cs="Times New Roman"/>
                <w:color w:val="000000" w:themeColor="text1"/>
              </w:rPr>
              <w:t xml:space="preserve">Publication and peer review of study protocol and analysis plan for in principle acceptance before data collection; after data analyses and write-up of results and discussion, stage 2 review assesses whether authors sufficiently followed their study plan and reported deviations from it. This shifts the focus of the review to the study’s research question and methodology and away from the perceived interest in the study’s results. (Parsons </w:t>
            </w:r>
            <w:r w:rsidRPr="19D72ED3">
              <w:rPr>
                <w:rFonts w:ascii="Times New Roman" w:eastAsia="Times New Roman" w:hAnsi="Times New Roman" w:cs="Times New Roman"/>
                <w:i/>
                <w:iCs/>
                <w:color w:val="000000" w:themeColor="text1"/>
              </w:rPr>
              <w:t>et al</w:t>
            </w:r>
            <w:r w:rsidRPr="19D72ED3">
              <w:rPr>
                <w:rFonts w:ascii="Times New Roman" w:eastAsia="Times New Roman" w:hAnsi="Times New Roman" w:cs="Times New Roman"/>
                <w:color w:val="000000" w:themeColor="text1"/>
              </w:rPr>
              <w:t>. 2022)</w:t>
            </w:r>
          </w:p>
        </w:tc>
      </w:tr>
      <w:tr w:rsidR="00E63726" w:rsidRPr="005A0FC6" w14:paraId="73CB8D74" w14:textId="77777777" w:rsidTr="00555A56">
        <w:trPr>
          <w:trHeight w:val="30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7131BD59" w14:textId="77777777" w:rsidR="00E63726" w:rsidRDefault="00E63726" w:rsidP="00555A56">
            <w:pPr>
              <w:spacing w:line="257" w:lineRule="auto"/>
            </w:pPr>
            <w:r w:rsidRPr="19D72ED3">
              <w:rPr>
                <w:rFonts w:ascii="Times New Roman" w:eastAsia="Times New Roman" w:hAnsi="Times New Roman" w:cs="Times New Roman"/>
                <w:color w:val="000000" w:themeColor="text1"/>
              </w:rPr>
              <w:t>Replicability</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1C39E324" w14:textId="77777777" w:rsidR="00E63726" w:rsidRPr="005A0FC6" w:rsidRDefault="00E63726" w:rsidP="00555A56">
            <w:pPr>
              <w:spacing w:line="257" w:lineRule="auto"/>
              <w:rPr>
                <w:lang w:val="en-US"/>
              </w:rPr>
            </w:pPr>
            <w:r w:rsidRPr="19D72ED3">
              <w:rPr>
                <w:rFonts w:ascii="Times New Roman" w:eastAsia="Times New Roman" w:hAnsi="Times New Roman" w:cs="Times New Roman"/>
                <w:color w:val="000000" w:themeColor="text1"/>
              </w:rPr>
              <w:t>Obtain the same results for the same research question, using the same analytical method but on a different sample (European Commission 2020)</w:t>
            </w:r>
          </w:p>
        </w:tc>
      </w:tr>
      <w:tr w:rsidR="00E63726" w:rsidRPr="005A0FC6" w14:paraId="3F04F370" w14:textId="77777777" w:rsidTr="00555A56">
        <w:trPr>
          <w:trHeight w:val="30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62FE8FE1" w14:textId="77777777" w:rsidR="00E63726" w:rsidRDefault="00E63726" w:rsidP="00555A56">
            <w:pPr>
              <w:rPr>
                <w:rFonts w:ascii="Times New Roman" w:eastAsia="Times New Roman" w:hAnsi="Times New Roman" w:cs="Times New Roman"/>
                <w:lang w:val="en-US"/>
              </w:rPr>
            </w:pPr>
            <w:r w:rsidRPr="19D72ED3">
              <w:rPr>
                <w:rFonts w:ascii="Times New Roman" w:eastAsia="Times New Roman" w:hAnsi="Times New Roman" w:cs="Times New Roman"/>
                <w:lang w:val="en-US"/>
              </w:rPr>
              <w:t>Reporting specific elements</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5AE28493" w14:textId="77777777" w:rsidR="00E63726" w:rsidRDefault="00E63726" w:rsidP="00555A56">
            <w:pPr>
              <w:rPr>
                <w:rFonts w:ascii="Times New Roman" w:eastAsia="Times New Roman" w:hAnsi="Times New Roman" w:cs="Times New Roman"/>
                <w:color w:val="000000" w:themeColor="text1"/>
                <w:lang w:val="en-US"/>
              </w:rPr>
            </w:pPr>
            <w:r w:rsidRPr="19D72ED3">
              <w:rPr>
                <w:rFonts w:ascii="Times New Roman" w:eastAsia="Times New Roman" w:hAnsi="Times New Roman" w:cs="Times New Roman"/>
                <w:color w:val="000000" w:themeColor="text1"/>
                <w:lang w:val="en-US"/>
              </w:rPr>
              <w:t xml:space="preserve">Reporting specific elements that are required according to the reporting guidelines or standards </w:t>
            </w:r>
          </w:p>
        </w:tc>
      </w:tr>
      <w:tr w:rsidR="00E63726" w:rsidRPr="005A0FC6" w14:paraId="331A1787" w14:textId="77777777" w:rsidTr="00555A56">
        <w:trPr>
          <w:trHeight w:val="30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3BFBE914" w14:textId="77777777" w:rsidR="00E63726" w:rsidRDefault="00E63726" w:rsidP="00555A56">
            <w:pPr>
              <w:spacing w:line="257" w:lineRule="auto"/>
            </w:pPr>
            <w:r w:rsidRPr="19D72ED3">
              <w:rPr>
                <w:rFonts w:ascii="Times New Roman" w:eastAsia="Times New Roman" w:hAnsi="Times New Roman" w:cs="Times New Roman"/>
                <w:color w:val="000000" w:themeColor="text1"/>
                <w:lang w:val="en-US"/>
              </w:rPr>
              <w:t>Reproducibility</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4A29727E" w14:textId="77777777" w:rsidR="00E63726" w:rsidRPr="005A0FC6" w:rsidRDefault="00E63726" w:rsidP="00555A56">
            <w:pPr>
              <w:spacing w:line="257" w:lineRule="auto"/>
              <w:rPr>
                <w:lang w:val="en-US"/>
              </w:rPr>
            </w:pPr>
            <w:r w:rsidRPr="19D72ED3">
              <w:rPr>
                <w:rFonts w:ascii="Times New Roman" w:eastAsia="Times New Roman" w:hAnsi="Times New Roman" w:cs="Times New Roman"/>
                <w:color w:val="000000" w:themeColor="text1"/>
                <w:lang w:val="en-US"/>
              </w:rPr>
              <w:t>Obtain the same results when re-enacting a study using the same methodology, data and code (European Commission 2020)</w:t>
            </w:r>
          </w:p>
        </w:tc>
      </w:tr>
      <w:tr w:rsidR="00E63726" w:rsidRPr="005A0FC6" w14:paraId="336EB98C" w14:textId="77777777" w:rsidTr="00555A56">
        <w:trPr>
          <w:trHeight w:val="30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0B056206" w14:textId="77777777" w:rsidR="00E63726" w:rsidRDefault="00E63726" w:rsidP="00555A56">
            <w:pPr>
              <w:spacing w:line="257" w:lineRule="auto"/>
            </w:pPr>
            <w:r w:rsidRPr="19D72ED3">
              <w:rPr>
                <w:rFonts w:ascii="Times New Roman" w:eastAsia="Times New Roman" w:hAnsi="Times New Roman" w:cs="Times New Roman"/>
                <w:color w:val="000000" w:themeColor="text1"/>
                <w:lang w:val="en-US"/>
              </w:rPr>
              <w:t>Reproducibility checks</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688E3AB2" w14:textId="77777777" w:rsidR="00E63726" w:rsidRPr="005A0FC6" w:rsidRDefault="00E63726" w:rsidP="00555A56">
            <w:pPr>
              <w:spacing w:line="257" w:lineRule="auto"/>
              <w:rPr>
                <w:lang w:val="en-US"/>
              </w:rPr>
            </w:pPr>
            <w:r w:rsidRPr="19D72ED3">
              <w:rPr>
                <w:rFonts w:ascii="Times New Roman" w:eastAsia="Times New Roman" w:hAnsi="Times New Roman" w:cs="Times New Roman"/>
                <w:color w:val="000000" w:themeColor="text1"/>
                <w:lang w:val="en-US"/>
              </w:rPr>
              <w:t>Independent checking whether code or other parts of research are reproducible, e.g. by reviewers</w:t>
            </w:r>
          </w:p>
        </w:tc>
      </w:tr>
      <w:tr w:rsidR="00E63726" w14:paraId="6A9641F2" w14:textId="77777777" w:rsidTr="00555A56">
        <w:trPr>
          <w:trHeight w:val="30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39D10581" w14:textId="77777777" w:rsidR="00E63726" w:rsidRDefault="00E63726" w:rsidP="00555A56">
            <w:pPr>
              <w:spacing w:line="257" w:lineRule="auto"/>
              <w:rPr>
                <w:rFonts w:ascii="Times New Roman" w:eastAsia="Times New Roman" w:hAnsi="Times New Roman" w:cs="Times New Roman"/>
                <w:color w:val="000000" w:themeColor="text1"/>
                <w:lang w:val="en-US"/>
              </w:rPr>
            </w:pPr>
            <w:r w:rsidRPr="19D72ED3">
              <w:rPr>
                <w:rFonts w:ascii="Times New Roman" w:eastAsia="Times New Roman" w:hAnsi="Times New Roman" w:cs="Times New Roman"/>
                <w:color w:val="000000" w:themeColor="text1"/>
                <w:lang w:val="en-US"/>
              </w:rPr>
              <w:t>Research material sharing</w:t>
            </w:r>
          </w:p>
          <w:p w14:paraId="22CCF0F2" w14:textId="77777777" w:rsidR="00E63726" w:rsidRDefault="00E63726" w:rsidP="005301A1">
            <w:pPr>
              <w:pStyle w:val="Lijstalinea"/>
              <w:numPr>
                <w:ilvl w:val="0"/>
                <w:numId w:val="3"/>
              </w:numPr>
              <w:ind w:left="360"/>
              <w:rPr>
                <w:rFonts w:ascii="Times New Roman" w:eastAsia="Times New Roman" w:hAnsi="Times New Roman" w:cs="Times New Roman"/>
                <w:color w:val="000000" w:themeColor="text1"/>
                <w:lang w:val="en-US"/>
              </w:rPr>
            </w:pPr>
            <w:r w:rsidRPr="19D72ED3">
              <w:rPr>
                <w:rFonts w:ascii="Times New Roman" w:eastAsia="Times New Roman" w:hAnsi="Times New Roman" w:cs="Times New Roman"/>
                <w:color w:val="000000" w:themeColor="text1"/>
                <w:lang w:val="en-US"/>
              </w:rPr>
              <w:t>Material sharing</w:t>
            </w:r>
          </w:p>
          <w:p w14:paraId="2B44278B" w14:textId="77777777" w:rsidR="00E63726" w:rsidRDefault="00E63726" w:rsidP="005301A1">
            <w:pPr>
              <w:pStyle w:val="Lijstalinea"/>
              <w:numPr>
                <w:ilvl w:val="0"/>
                <w:numId w:val="3"/>
              </w:numPr>
              <w:ind w:left="360"/>
              <w:rPr>
                <w:rFonts w:ascii="Times New Roman" w:eastAsia="Times New Roman" w:hAnsi="Times New Roman" w:cs="Times New Roman"/>
                <w:color w:val="000000" w:themeColor="text1"/>
                <w:lang w:val="en-US"/>
              </w:rPr>
            </w:pPr>
            <w:r w:rsidRPr="19D72ED3">
              <w:rPr>
                <w:rFonts w:ascii="Times New Roman" w:eastAsia="Times New Roman" w:hAnsi="Times New Roman" w:cs="Times New Roman"/>
                <w:color w:val="000000" w:themeColor="text1"/>
                <w:lang w:val="en-US"/>
              </w:rPr>
              <w:t xml:space="preserve">Data sharing </w:t>
            </w:r>
          </w:p>
          <w:p w14:paraId="70ADB8BD" w14:textId="77777777" w:rsidR="00E63726" w:rsidRDefault="00E63726" w:rsidP="005301A1">
            <w:pPr>
              <w:pStyle w:val="Lijstalinea"/>
              <w:numPr>
                <w:ilvl w:val="0"/>
                <w:numId w:val="3"/>
              </w:numPr>
              <w:ind w:left="360"/>
              <w:rPr>
                <w:rFonts w:ascii="Times New Roman" w:eastAsia="Times New Roman" w:hAnsi="Times New Roman" w:cs="Times New Roman"/>
                <w:color w:val="000000" w:themeColor="text1"/>
                <w:lang w:val="en-US"/>
              </w:rPr>
            </w:pPr>
            <w:r w:rsidRPr="19D72ED3">
              <w:rPr>
                <w:rFonts w:ascii="Times New Roman" w:eastAsia="Times New Roman" w:hAnsi="Times New Roman" w:cs="Times New Roman"/>
                <w:color w:val="000000" w:themeColor="text1"/>
                <w:lang w:val="en-US"/>
              </w:rPr>
              <w:t>Code sharing</w:t>
            </w:r>
          </w:p>
          <w:p w14:paraId="5395222B" w14:textId="77777777" w:rsidR="00E63726" w:rsidRDefault="00E63726" w:rsidP="005301A1">
            <w:pPr>
              <w:pStyle w:val="Lijstalinea"/>
              <w:numPr>
                <w:ilvl w:val="0"/>
                <w:numId w:val="3"/>
              </w:numPr>
              <w:ind w:left="360"/>
              <w:rPr>
                <w:rFonts w:ascii="Times New Roman" w:eastAsia="Times New Roman" w:hAnsi="Times New Roman" w:cs="Times New Roman"/>
                <w:color w:val="000000" w:themeColor="text1"/>
                <w:lang w:val="en-US"/>
              </w:rPr>
            </w:pPr>
            <w:r w:rsidRPr="19D72ED3">
              <w:rPr>
                <w:rFonts w:ascii="Times New Roman" w:eastAsia="Times New Roman" w:hAnsi="Times New Roman" w:cs="Times New Roman"/>
                <w:color w:val="000000" w:themeColor="text1"/>
                <w:lang w:val="en-US"/>
              </w:rPr>
              <w:t>Software sharing</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1B4CC109" w14:textId="77777777" w:rsidR="00E63726" w:rsidRDefault="00E63726" w:rsidP="00555A56">
            <w:pPr>
              <w:spacing w:line="257" w:lineRule="auto"/>
            </w:pPr>
            <w:r w:rsidRPr="19D72ED3">
              <w:rPr>
                <w:rFonts w:ascii="Times New Roman" w:eastAsia="Times New Roman" w:hAnsi="Times New Roman" w:cs="Times New Roman"/>
                <w:color w:val="000000" w:themeColor="text1"/>
                <w:lang w:val="en-US"/>
              </w:rPr>
              <w:t>Sharing of all information, tools, equipment etc. that are necessary to reproduce/replicate a study. This includes descriptive metadata sharing and code explanations</w:t>
            </w:r>
          </w:p>
        </w:tc>
      </w:tr>
      <w:tr w:rsidR="00E63726" w:rsidRPr="005A0FC6" w14:paraId="416F75D3" w14:textId="77777777" w:rsidTr="00555A56">
        <w:trPr>
          <w:trHeight w:val="30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216CCC4A" w14:textId="77777777" w:rsidR="00E63726" w:rsidRDefault="00E63726" w:rsidP="00555A56">
            <w:pPr>
              <w:spacing w:line="257" w:lineRule="auto"/>
            </w:pPr>
            <w:r w:rsidRPr="19D72ED3">
              <w:rPr>
                <w:rFonts w:ascii="Times New Roman" w:eastAsia="Times New Roman" w:hAnsi="Times New Roman" w:cs="Times New Roman"/>
                <w:color w:val="000000" w:themeColor="text1"/>
              </w:rPr>
              <w:t>Results reproducibility</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65E5F185" w14:textId="77777777" w:rsidR="00E63726" w:rsidRPr="005A0FC6" w:rsidRDefault="00E63726" w:rsidP="00555A56">
            <w:pPr>
              <w:spacing w:line="257" w:lineRule="auto"/>
              <w:rPr>
                <w:lang w:val="en-US"/>
              </w:rPr>
            </w:pPr>
            <w:r w:rsidRPr="19D72ED3">
              <w:rPr>
                <w:rFonts w:ascii="Times New Roman" w:eastAsia="Times New Roman" w:hAnsi="Times New Roman" w:cs="Times New Roman"/>
                <w:color w:val="000000" w:themeColor="text1"/>
              </w:rPr>
              <w:t xml:space="preserve">Obtaining the same results from an independent study whose procedures are as closely matched to the original experiment as possible (Goodman </w:t>
            </w:r>
            <w:r w:rsidRPr="19D72ED3">
              <w:rPr>
                <w:rFonts w:ascii="Times New Roman" w:eastAsia="Times New Roman" w:hAnsi="Times New Roman" w:cs="Times New Roman"/>
                <w:i/>
                <w:iCs/>
                <w:color w:val="000000" w:themeColor="text1"/>
              </w:rPr>
              <w:t>et al.</w:t>
            </w:r>
            <w:r w:rsidRPr="19D72ED3">
              <w:rPr>
                <w:rFonts w:ascii="Times New Roman" w:eastAsia="Times New Roman" w:hAnsi="Times New Roman" w:cs="Times New Roman"/>
                <w:color w:val="000000" w:themeColor="text1"/>
              </w:rPr>
              <w:t xml:space="preserve"> 2016)</w:t>
            </w:r>
          </w:p>
        </w:tc>
      </w:tr>
      <w:tr w:rsidR="00E63726" w:rsidRPr="005A0FC6" w14:paraId="45D1BDDD" w14:textId="77777777" w:rsidTr="00555A56">
        <w:trPr>
          <w:trHeight w:val="30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6C07F8D1" w14:textId="77777777" w:rsidR="00E63726" w:rsidRDefault="00E63726" w:rsidP="00555A56">
            <w:pPr>
              <w:rPr>
                <w:rFonts w:ascii="Times New Roman" w:eastAsia="Times New Roman" w:hAnsi="Times New Roman" w:cs="Times New Roman"/>
                <w:lang w:val="en-US"/>
              </w:rPr>
            </w:pPr>
            <w:r w:rsidRPr="19D72ED3">
              <w:rPr>
                <w:rFonts w:ascii="Times New Roman" w:eastAsia="Times New Roman" w:hAnsi="Times New Roman" w:cs="Times New Roman"/>
                <w:lang w:val="en-US"/>
              </w:rPr>
              <w:t>Self-reported behaviour</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08E1499D" w14:textId="77777777" w:rsidR="00E63726" w:rsidRDefault="00E63726" w:rsidP="00555A56">
            <w:pPr>
              <w:rPr>
                <w:rFonts w:ascii="Times New Roman" w:eastAsia="Times New Roman" w:hAnsi="Times New Roman" w:cs="Times New Roman"/>
                <w:lang w:val="en-US"/>
              </w:rPr>
            </w:pPr>
            <w:r w:rsidRPr="19D72ED3">
              <w:rPr>
                <w:rFonts w:ascii="Times New Roman" w:eastAsia="Times New Roman" w:hAnsi="Times New Roman" w:cs="Times New Roman"/>
                <w:lang w:val="en-US"/>
              </w:rPr>
              <w:t>Behaviour changes related to open science practices and data sharing, resulting from programming workshops about researcher workflows, as reported by the interviewees who attended the workshops (Deardorff 2020)</w:t>
            </w:r>
          </w:p>
        </w:tc>
      </w:tr>
      <w:tr w:rsidR="00E63726" w:rsidRPr="005A0FC6" w14:paraId="454E6CB3" w14:textId="77777777" w:rsidTr="00555A56">
        <w:trPr>
          <w:trHeight w:val="30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1A6D991C" w14:textId="77777777" w:rsidR="00E63726" w:rsidRDefault="00E63726" w:rsidP="00555A56">
            <w:pPr>
              <w:rPr>
                <w:rFonts w:ascii="Times New Roman" w:eastAsia="Times New Roman" w:hAnsi="Times New Roman" w:cs="Times New Roman"/>
                <w:lang w:val="en-US"/>
              </w:rPr>
            </w:pPr>
            <w:r w:rsidRPr="19D72ED3">
              <w:rPr>
                <w:rFonts w:ascii="Times New Roman" w:eastAsia="Times New Roman" w:hAnsi="Times New Roman" w:cs="Times New Roman"/>
                <w:lang w:val="en-US"/>
              </w:rPr>
              <w:t>Self-reported transparency</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79978822" w14:textId="77777777" w:rsidR="00E63726" w:rsidRDefault="00E63726" w:rsidP="00555A56">
            <w:pPr>
              <w:rPr>
                <w:rFonts w:ascii="Times New Roman" w:eastAsia="Times New Roman" w:hAnsi="Times New Roman" w:cs="Times New Roman"/>
                <w:color w:val="000000" w:themeColor="text1"/>
                <w:lang w:val="en-US"/>
              </w:rPr>
            </w:pPr>
            <w:r w:rsidRPr="19D72ED3">
              <w:rPr>
                <w:rFonts w:ascii="Times New Roman" w:eastAsia="Times New Roman" w:hAnsi="Times New Roman" w:cs="Times New Roman"/>
                <w:color w:val="000000" w:themeColor="text1"/>
                <w:lang w:val="en-US"/>
              </w:rPr>
              <w:t xml:space="preserve">Transparency as evaluated and reported by the researchers themselves  </w:t>
            </w:r>
          </w:p>
        </w:tc>
      </w:tr>
      <w:tr w:rsidR="00E63726" w:rsidRPr="005A0FC6" w14:paraId="14BC7C93" w14:textId="77777777" w:rsidTr="00555A56">
        <w:trPr>
          <w:trHeight w:val="30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6CACDBAD" w14:textId="77777777" w:rsidR="00E63726" w:rsidRDefault="00E63726" w:rsidP="00555A56">
            <w:pPr>
              <w:rPr>
                <w:rFonts w:ascii="Times New Roman" w:eastAsia="Times New Roman" w:hAnsi="Times New Roman" w:cs="Times New Roman"/>
                <w:lang w:val="en-US"/>
              </w:rPr>
            </w:pPr>
            <w:r w:rsidRPr="19D72ED3">
              <w:rPr>
                <w:rFonts w:ascii="Times New Roman" w:eastAsia="Times New Roman" w:hAnsi="Times New Roman" w:cs="Times New Roman"/>
                <w:lang w:val="en-US"/>
              </w:rPr>
              <w:t>Statistical inconsistencies</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3E747515" w14:textId="77777777" w:rsidR="00E63726" w:rsidRDefault="00E63726" w:rsidP="00555A56">
            <w:pPr>
              <w:rPr>
                <w:rFonts w:ascii="Times New Roman" w:eastAsia="Times New Roman" w:hAnsi="Times New Roman" w:cs="Times New Roman"/>
                <w:lang w:val="en-US"/>
              </w:rPr>
            </w:pPr>
            <w:r w:rsidRPr="19D72ED3">
              <w:rPr>
                <w:rFonts w:ascii="Times New Roman" w:eastAsia="Times New Roman" w:hAnsi="Times New Roman" w:cs="Times New Roman"/>
                <w:lang w:val="en-US"/>
              </w:rPr>
              <w:t xml:space="preserve">Numerical results that do not match the description of the statistical analysis or that do not match other numerical results mentioned in the paper (Nuijten </w:t>
            </w:r>
            <w:r w:rsidRPr="19D72ED3">
              <w:rPr>
                <w:rFonts w:ascii="Times New Roman" w:eastAsia="Times New Roman" w:hAnsi="Times New Roman" w:cs="Times New Roman"/>
                <w:i/>
                <w:iCs/>
                <w:lang w:val="en-US"/>
              </w:rPr>
              <w:t>et al.</w:t>
            </w:r>
            <w:r w:rsidRPr="19D72ED3">
              <w:rPr>
                <w:rFonts w:ascii="Times New Roman" w:eastAsia="Times New Roman" w:hAnsi="Times New Roman" w:cs="Times New Roman"/>
                <w:lang w:val="en-US"/>
              </w:rPr>
              <w:t xml:space="preserve"> 2017)</w:t>
            </w:r>
          </w:p>
        </w:tc>
      </w:tr>
      <w:tr w:rsidR="00E63726" w:rsidRPr="005A0FC6" w14:paraId="59A13366" w14:textId="77777777" w:rsidTr="00555A56">
        <w:trPr>
          <w:trHeight w:val="30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1E03D3FE" w14:textId="77777777" w:rsidR="00E63726" w:rsidRDefault="00E63726" w:rsidP="00555A56">
            <w:pPr>
              <w:spacing w:line="257" w:lineRule="auto"/>
            </w:pPr>
            <w:r w:rsidRPr="7C5BD209">
              <w:rPr>
                <w:rFonts w:ascii="Times New Roman" w:eastAsia="Times New Roman" w:hAnsi="Times New Roman" w:cs="Times New Roman"/>
                <w:color w:val="000000" w:themeColor="text1"/>
              </w:rPr>
              <w:t>Statistical reproducibility</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13E880C8" w14:textId="77777777" w:rsidR="00E63726" w:rsidRPr="005A0FC6" w:rsidRDefault="00E63726" w:rsidP="00555A56">
            <w:pPr>
              <w:spacing w:line="257" w:lineRule="auto"/>
              <w:rPr>
                <w:lang w:val="en-US"/>
              </w:rPr>
            </w:pPr>
            <w:r w:rsidRPr="7C5BD209">
              <w:rPr>
                <w:rFonts w:ascii="Times New Roman" w:eastAsia="Times New Roman" w:hAnsi="Times New Roman" w:cs="Times New Roman"/>
                <w:color w:val="000000" w:themeColor="text1"/>
              </w:rPr>
              <w:t>Detailed information is provided about the choice of statistical tests, model parameters, and threshold values (The Turing Way Community 2022)</w:t>
            </w:r>
          </w:p>
        </w:tc>
      </w:tr>
      <w:tr w:rsidR="00E63726" w:rsidRPr="005A0FC6" w14:paraId="38BE0BEF" w14:textId="77777777" w:rsidTr="00555A56">
        <w:trPr>
          <w:trHeight w:val="30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183DB97B" w14:textId="77777777" w:rsidR="00E63726" w:rsidRDefault="00E63726" w:rsidP="00555A56">
            <w:pPr>
              <w:rPr>
                <w:rFonts w:ascii="Times New Roman" w:eastAsia="Times New Roman" w:hAnsi="Times New Roman" w:cs="Times New Roman"/>
                <w:lang w:val="en-US"/>
              </w:rPr>
            </w:pPr>
            <w:r w:rsidRPr="19D72ED3">
              <w:rPr>
                <w:rFonts w:ascii="Times New Roman" w:eastAsia="Times New Roman" w:hAnsi="Times New Roman" w:cs="Times New Roman"/>
                <w:lang w:val="en-US"/>
              </w:rPr>
              <w:t>Statistical significance</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13016CF7" w14:textId="77777777" w:rsidR="00E63726" w:rsidRDefault="00E63726" w:rsidP="00555A56">
            <w:pPr>
              <w:rPr>
                <w:rFonts w:ascii="Times New Roman" w:eastAsia="Times New Roman" w:hAnsi="Times New Roman" w:cs="Times New Roman"/>
                <w:lang w:val="en-US"/>
              </w:rPr>
            </w:pPr>
            <w:r w:rsidRPr="19D72ED3">
              <w:rPr>
                <w:rFonts w:ascii="Times New Roman" w:eastAsia="Times New Roman" w:hAnsi="Times New Roman" w:cs="Times New Roman"/>
                <w:lang w:val="en-US"/>
              </w:rPr>
              <w:t xml:space="preserve">A statistical criterion that refers to the rejection of the null hypothesis at a prespecified significance level (e.g., 1%) (Askarov </w:t>
            </w:r>
            <w:r w:rsidRPr="19D72ED3">
              <w:rPr>
                <w:rFonts w:ascii="Times New Roman" w:eastAsia="Times New Roman" w:hAnsi="Times New Roman" w:cs="Times New Roman"/>
                <w:i/>
                <w:iCs/>
                <w:lang w:val="en-US"/>
              </w:rPr>
              <w:t>et al.</w:t>
            </w:r>
            <w:r w:rsidRPr="19D72ED3">
              <w:rPr>
                <w:rFonts w:ascii="Times New Roman" w:eastAsia="Times New Roman" w:hAnsi="Times New Roman" w:cs="Times New Roman"/>
                <w:lang w:val="en-US"/>
              </w:rPr>
              <w:t xml:space="preserve"> 2022; Blanco-Perez </w:t>
            </w:r>
            <w:r w:rsidRPr="19D72ED3">
              <w:rPr>
                <w:rFonts w:ascii="Times New Roman" w:eastAsia="Times New Roman" w:hAnsi="Times New Roman" w:cs="Times New Roman"/>
                <w:i/>
                <w:iCs/>
                <w:lang w:val="en-US"/>
              </w:rPr>
              <w:t>et al.</w:t>
            </w:r>
            <w:r w:rsidRPr="19D72ED3">
              <w:rPr>
                <w:rFonts w:ascii="Times New Roman" w:eastAsia="Times New Roman" w:hAnsi="Times New Roman" w:cs="Times New Roman"/>
                <w:lang w:val="en-US"/>
              </w:rPr>
              <w:t xml:space="preserve"> 2020; Gkiouras </w:t>
            </w:r>
            <w:r w:rsidRPr="19D72ED3">
              <w:rPr>
                <w:rFonts w:ascii="Times New Roman" w:eastAsia="Times New Roman" w:hAnsi="Times New Roman" w:cs="Times New Roman"/>
                <w:i/>
                <w:iCs/>
                <w:lang w:val="en-US"/>
              </w:rPr>
              <w:t>et al.</w:t>
            </w:r>
            <w:r w:rsidRPr="19D72ED3">
              <w:rPr>
                <w:rFonts w:ascii="Times New Roman" w:eastAsia="Times New Roman" w:hAnsi="Times New Roman" w:cs="Times New Roman"/>
                <w:lang w:val="en-US"/>
              </w:rPr>
              <w:t xml:space="preserve"> 2022; Toth </w:t>
            </w:r>
            <w:r w:rsidRPr="19D72ED3">
              <w:rPr>
                <w:rFonts w:ascii="Times New Roman" w:eastAsia="Times New Roman" w:hAnsi="Times New Roman" w:cs="Times New Roman"/>
                <w:i/>
                <w:iCs/>
                <w:lang w:val="en-US"/>
              </w:rPr>
              <w:t>et al.</w:t>
            </w:r>
            <w:r w:rsidRPr="19D72ED3">
              <w:rPr>
                <w:rFonts w:ascii="Times New Roman" w:eastAsia="Times New Roman" w:hAnsi="Times New Roman" w:cs="Times New Roman"/>
                <w:lang w:val="en-US"/>
              </w:rPr>
              <w:t xml:space="preserve"> 2021)</w:t>
            </w:r>
          </w:p>
        </w:tc>
      </w:tr>
      <w:tr w:rsidR="00E63726" w:rsidRPr="005A0FC6" w14:paraId="08F2C6A0" w14:textId="77777777" w:rsidTr="00555A56">
        <w:trPr>
          <w:trHeight w:val="30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6DDC9F3F" w14:textId="77777777" w:rsidR="00E63726" w:rsidRDefault="00E63726" w:rsidP="00555A56">
            <w:pPr>
              <w:spacing w:line="257" w:lineRule="auto"/>
            </w:pPr>
            <w:r w:rsidRPr="19D72ED3">
              <w:rPr>
                <w:rFonts w:ascii="Times New Roman" w:eastAsia="Times New Roman" w:hAnsi="Times New Roman" w:cs="Times New Roman"/>
                <w:color w:val="000000" w:themeColor="text1"/>
                <w:lang w:val="en-US"/>
              </w:rPr>
              <w:t>TOP guidelines</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43D62268" w14:textId="77777777" w:rsidR="00E63726" w:rsidRPr="005A0FC6" w:rsidRDefault="00E63726" w:rsidP="00555A56">
            <w:pPr>
              <w:spacing w:line="257" w:lineRule="auto"/>
              <w:rPr>
                <w:lang w:val="en-US"/>
              </w:rPr>
            </w:pPr>
            <w:r w:rsidRPr="19D72ED3">
              <w:rPr>
                <w:rFonts w:ascii="Times New Roman" w:eastAsia="Times New Roman" w:hAnsi="Times New Roman" w:cs="Times New Roman"/>
                <w:color w:val="000000" w:themeColor="text1"/>
                <w:lang w:val="en-US"/>
              </w:rPr>
              <w:t xml:space="preserve">Transparency and Openness Promotion Guidelines for published research (Nosek </w:t>
            </w:r>
            <w:r w:rsidRPr="19D72ED3">
              <w:rPr>
                <w:rFonts w:ascii="Times New Roman" w:eastAsia="Times New Roman" w:hAnsi="Times New Roman" w:cs="Times New Roman"/>
                <w:i/>
                <w:iCs/>
                <w:color w:val="000000" w:themeColor="text1"/>
                <w:lang w:val="en-US"/>
              </w:rPr>
              <w:t>et al.</w:t>
            </w:r>
            <w:r w:rsidRPr="19D72ED3">
              <w:rPr>
                <w:rFonts w:ascii="Times New Roman" w:eastAsia="Times New Roman" w:hAnsi="Times New Roman" w:cs="Times New Roman"/>
                <w:color w:val="000000" w:themeColor="text1"/>
                <w:lang w:val="en-US"/>
              </w:rPr>
              <w:t xml:space="preserve"> 2015)</w:t>
            </w:r>
          </w:p>
        </w:tc>
      </w:tr>
      <w:tr w:rsidR="00E63726" w:rsidRPr="005A0FC6" w14:paraId="4E8FDB98" w14:textId="77777777" w:rsidTr="00555A56">
        <w:trPr>
          <w:trHeight w:val="30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64BAAF9B" w14:textId="77777777" w:rsidR="00E63726" w:rsidRDefault="00E63726" w:rsidP="00555A56">
            <w:pPr>
              <w:rPr>
                <w:rFonts w:ascii="Times New Roman" w:eastAsia="Times New Roman" w:hAnsi="Times New Roman" w:cs="Times New Roman"/>
                <w:lang w:val="en-US"/>
              </w:rPr>
            </w:pPr>
            <w:r w:rsidRPr="49001B5C">
              <w:rPr>
                <w:rFonts w:ascii="Times New Roman" w:eastAsia="Times New Roman" w:hAnsi="Times New Roman" w:cs="Times New Roman"/>
                <w:lang w:val="en-US"/>
              </w:rPr>
              <w:t>Trial results published</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68EFB216" w14:textId="77777777" w:rsidR="00E63726" w:rsidRDefault="00E63726" w:rsidP="00555A56">
            <w:pPr>
              <w:rPr>
                <w:rFonts w:ascii="Times New Roman" w:eastAsia="Times New Roman" w:hAnsi="Times New Roman" w:cs="Times New Roman"/>
                <w:lang w:val="en-US"/>
              </w:rPr>
            </w:pPr>
            <w:r w:rsidRPr="0048350E">
              <w:rPr>
                <w:rFonts w:ascii="Times New Roman" w:eastAsia="Times New Roman" w:hAnsi="Times New Roman" w:cs="Times New Roman"/>
                <w:lang w:val="en-US"/>
              </w:rPr>
              <w:t xml:space="preserve">When the scientific results of a clinical trial are published in the scientific literature after an initial preregistration or protocol (Hardt </w:t>
            </w:r>
            <w:r w:rsidRPr="0048350E">
              <w:rPr>
                <w:rFonts w:ascii="Times New Roman" w:eastAsia="Times New Roman" w:hAnsi="Times New Roman" w:cs="Times New Roman"/>
                <w:i/>
                <w:iCs/>
                <w:lang w:val="en-US"/>
              </w:rPr>
              <w:t>et al.</w:t>
            </w:r>
            <w:r w:rsidRPr="0048350E">
              <w:rPr>
                <w:rFonts w:ascii="Times New Roman" w:eastAsia="Times New Roman" w:hAnsi="Times New Roman" w:cs="Times New Roman"/>
                <w:lang w:val="en-US"/>
              </w:rPr>
              <w:t xml:space="preserve"> 2013; Marin </w:t>
            </w:r>
            <w:r w:rsidRPr="0048350E">
              <w:rPr>
                <w:rFonts w:ascii="Times New Roman" w:eastAsia="Times New Roman" w:hAnsi="Times New Roman" w:cs="Times New Roman"/>
                <w:i/>
                <w:iCs/>
                <w:lang w:val="en-US"/>
              </w:rPr>
              <w:t>et al.</w:t>
            </w:r>
            <w:r w:rsidRPr="0048350E">
              <w:rPr>
                <w:rFonts w:ascii="Times New Roman" w:eastAsia="Times New Roman" w:hAnsi="Times New Roman" w:cs="Times New Roman"/>
                <w:lang w:val="en-US"/>
              </w:rPr>
              <w:t xml:space="preserve"> 2015; Shamliyan </w:t>
            </w:r>
            <w:r w:rsidRPr="0048350E">
              <w:rPr>
                <w:rFonts w:ascii="Times New Roman" w:eastAsia="Times New Roman" w:hAnsi="Times New Roman" w:cs="Times New Roman"/>
                <w:i/>
                <w:iCs/>
                <w:lang w:val="en-US"/>
              </w:rPr>
              <w:t>et al.</w:t>
            </w:r>
            <w:r w:rsidRPr="0048350E">
              <w:rPr>
                <w:rFonts w:ascii="Times New Roman" w:eastAsia="Times New Roman" w:hAnsi="Times New Roman" w:cs="Times New Roman"/>
                <w:lang w:val="en-US"/>
              </w:rPr>
              <w:t xml:space="preserve"> 2014)</w:t>
            </w:r>
          </w:p>
        </w:tc>
      </w:tr>
      <w:tr w:rsidR="00E63726" w:rsidRPr="005A0FC6" w14:paraId="07B6E2C0" w14:textId="77777777" w:rsidTr="00555A56">
        <w:trPr>
          <w:trHeight w:val="30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7FE83BBE" w14:textId="77777777" w:rsidR="00E63726" w:rsidRDefault="00E63726" w:rsidP="00555A56">
            <w:pPr>
              <w:rPr>
                <w:rFonts w:ascii="Times New Roman" w:eastAsia="Times New Roman" w:hAnsi="Times New Roman" w:cs="Times New Roman"/>
                <w:lang w:val="en-US"/>
              </w:rPr>
            </w:pPr>
            <w:r w:rsidRPr="19D72ED3">
              <w:rPr>
                <w:rFonts w:ascii="Times New Roman" w:eastAsia="Times New Roman" w:hAnsi="Times New Roman" w:cs="Times New Roman"/>
                <w:lang w:val="en-US"/>
              </w:rPr>
              <w:lastRenderedPageBreak/>
              <w:t>Type-I error</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0B48ECF3" w14:textId="77777777" w:rsidR="00E63726" w:rsidRDefault="00E63726" w:rsidP="00555A56">
            <w:pPr>
              <w:rPr>
                <w:rFonts w:ascii="Times New Roman" w:eastAsia="Times New Roman" w:hAnsi="Times New Roman" w:cs="Times New Roman"/>
                <w:lang w:val="en-US"/>
              </w:rPr>
            </w:pPr>
            <w:r w:rsidRPr="49001B5C">
              <w:rPr>
                <w:rFonts w:ascii="Times New Roman" w:eastAsia="Times New Roman" w:hAnsi="Times New Roman" w:cs="Times New Roman"/>
                <w:lang w:val="en-US"/>
              </w:rPr>
              <w:t xml:space="preserve">A decision to reject a true null hypothesis (Gregori </w:t>
            </w:r>
            <w:r w:rsidRPr="49001B5C">
              <w:rPr>
                <w:rFonts w:ascii="Times New Roman" w:eastAsia="Times New Roman" w:hAnsi="Times New Roman" w:cs="Times New Roman"/>
                <w:i/>
                <w:iCs/>
                <w:lang w:val="en-US"/>
              </w:rPr>
              <w:t>et al.</w:t>
            </w:r>
            <w:r w:rsidRPr="49001B5C">
              <w:rPr>
                <w:rFonts w:ascii="Times New Roman" w:eastAsia="Times New Roman" w:hAnsi="Times New Roman" w:cs="Times New Roman"/>
                <w:lang w:val="en-US"/>
              </w:rPr>
              <w:t xml:space="preserve"> 2013; Gruber </w:t>
            </w:r>
            <w:r w:rsidRPr="49001B5C">
              <w:rPr>
                <w:rFonts w:ascii="Times New Roman" w:eastAsia="Times New Roman" w:hAnsi="Times New Roman" w:cs="Times New Roman"/>
                <w:i/>
                <w:iCs/>
                <w:lang w:val="en-US"/>
              </w:rPr>
              <w:t>et al.</w:t>
            </w:r>
            <w:r w:rsidRPr="49001B5C">
              <w:rPr>
                <w:rFonts w:ascii="Times New Roman" w:eastAsia="Times New Roman" w:hAnsi="Times New Roman" w:cs="Times New Roman"/>
                <w:lang w:val="en-US"/>
              </w:rPr>
              <w:t xml:space="preserve"> 2016)</w:t>
            </w:r>
          </w:p>
        </w:tc>
      </w:tr>
      <w:tr w:rsidR="00E63726" w:rsidRPr="005A0FC6" w14:paraId="68B6DCB3" w14:textId="77777777" w:rsidTr="00555A56">
        <w:trPr>
          <w:trHeight w:val="300"/>
        </w:trPr>
        <w:tc>
          <w:tcPr>
            <w:tcW w:w="2762"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0E258345" w14:textId="77777777" w:rsidR="00E63726" w:rsidRDefault="00E63726" w:rsidP="00555A56">
            <w:pPr>
              <w:rPr>
                <w:rFonts w:ascii="Times New Roman" w:eastAsia="Times New Roman" w:hAnsi="Times New Roman" w:cs="Times New Roman"/>
                <w:lang w:val="en-US"/>
              </w:rPr>
            </w:pPr>
            <w:r w:rsidRPr="19D72ED3">
              <w:rPr>
                <w:rFonts w:ascii="Times New Roman" w:eastAsia="Times New Roman" w:hAnsi="Times New Roman" w:cs="Times New Roman"/>
                <w:lang w:val="en-US"/>
              </w:rPr>
              <w:t>Type-I error reduction</w:t>
            </w:r>
          </w:p>
        </w:tc>
        <w:tc>
          <w:tcPr>
            <w:tcW w:w="6253"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5029A54A" w14:textId="77777777" w:rsidR="00E63726" w:rsidRDefault="00E63726" w:rsidP="00555A56">
            <w:pPr>
              <w:rPr>
                <w:rFonts w:ascii="Times New Roman" w:eastAsia="Times New Roman" w:hAnsi="Times New Roman" w:cs="Times New Roman"/>
                <w:lang w:val="en-US"/>
              </w:rPr>
            </w:pPr>
            <w:r w:rsidRPr="19D72ED3">
              <w:rPr>
                <w:rFonts w:ascii="Times New Roman" w:eastAsia="Times New Roman" w:hAnsi="Times New Roman" w:cs="Times New Roman"/>
                <w:lang w:val="en-US"/>
              </w:rPr>
              <w:t xml:space="preserve">A reduction of statistically significant results while the null hypothesis is true (Jaljuli </w:t>
            </w:r>
            <w:r w:rsidRPr="19D72ED3">
              <w:rPr>
                <w:rFonts w:ascii="Times New Roman" w:eastAsia="Times New Roman" w:hAnsi="Times New Roman" w:cs="Times New Roman"/>
                <w:i/>
                <w:iCs/>
                <w:lang w:val="en-US"/>
              </w:rPr>
              <w:t>et al.</w:t>
            </w:r>
            <w:r w:rsidRPr="19D72ED3">
              <w:rPr>
                <w:rFonts w:ascii="Times New Roman" w:eastAsia="Times New Roman" w:hAnsi="Times New Roman" w:cs="Times New Roman"/>
                <w:lang w:val="en-US"/>
              </w:rPr>
              <w:t xml:space="preserve"> 2023)</w:t>
            </w:r>
          </w:p>
        </w:tc>
      </w:tr>
      <w:tr w:rsidR="00E63726" w:rsidRPr="005A0FC6" w14:paraId="1C9A2EA1" w14:textId="77777777" w:rsidTr="00555A56">
        <w:trPr>
          <w:trHeight w:val="300"/>
        </w:trPr>
        <w:tc>
          <w:tcPr>
            <w:tcW w:w="2762" w:type="dxa"/>
            <w:tcBorders>
              <w:top w:val="single" w:sz="8" w:space="0" w:color="000000" w:themeColor="text1"/>
              <w:left w:val="single" w:sz="8" w:space="0" w:color="auto"/>
              <w:bottom w:val="single" w:sz="8" w:space="0" w:color="auto"/>
              <w:right w:val="single" w:sz="8" w:space="0" w:color="000000" w:themeColor="text1"/>
            </w:tcBorders>
            <w:tcMar>
              <w:left w:w="105" w:type="dxa"/>
              <w:right w:w="105" w:type="dxa"/>
            </w:tcMar>
          </w:tcPr>
          <w:p w14:paraId="4A3DB08B" w14:textId="77777777" w:rsidR="00E63726" w:rsidRDefault="00E63726" w:rsidP="00555A56">
            <w:pPr>
              <w:rPr>
                <w:rFonts w:ascii="Times New Roman" w:eastAsia="Times New Roman" w:hAnsi="Times New Roman" w:cs="Times New Roman"/>
                <w:lang w:val="en-US"/>
              </w:rPr>
            </w:pPr>
            <w:r w:rsidRPr="19D72ED3">
              <w:rPr>
                <w:rFonts w:ascii="Times New Roman" w:eastAsia="Times New Roman" w:hAnsi="Times New Roman" w:cs="Times New Roman"/>
                <w:lang w:val="en-US"/>
              </w:rPr>
              <w:t>Type-II error</w:t>
            </w:r>
          </w:p>
        </w:tc>
        <w:tc>
          <w:tcPr>
            <w:tcW w:w="6253" w:type="dxa"/>
            <w:tcBorders>
              <w:top w:val="single" w:sz="8" w:space="0" w:color="000000" w:themeColor="text1"/>
              <w:left w:val="single" w:sz="8" w:space="0" w:color="000000" w:themeColor="text1"/>
              <w:bottom w:val="single" w:sz="8" w:space="0" w:color="auto"/>
              <w:right w:val="single" w:sz="8" w:space="0" w:color="auto"/>
            </w:tcBorders>
            <w:tcMar>
              <w:left w:w="105" w:type="dxa"/>
              <w:right w:w="105" w:type="dxa"/>
            </w:tcMar>
          </w:tcPr>
          <w:p w14:paraId="3BAAA574" w14:textId="77777777" w:rsidR="00E63726" w:rsidRDefault="00E63726" w:rsidP="00555A56">
            <w:pPr>
              <w:rPr>
                <w:rFonts w:ascii="Times New Roman" w:eastAsia="Times New Roman" w:hAnsi="Times New Roman" w:cs="Times New Roman"/>
                <w:lang w:val="en-US"/>
              </w:rPr>
            </w:pPr>
            <w:r w:rsidRPr="49001B5C">
              <w:rPr>
                <w:rFonts w:ascii="Times New Roman" w:eastAsia="Times New Roman" w:hAnsi="Times New Roman" w:cs="Times New Roman"/>
                <w:lang w:val="en-US"/>
              </w:rPr>
              <w:t xml:space="preserve">A decision to accept a false null hypothesis (Gruber </w:t>
            </w:r>
            <w:r w:rsidRPr="49001B5C">
              <w:rPr>
                <w:rFonts w:ascii="Times New Roman" w:eastAsia="Times New Roman" w:hAnsi="Times New Roman" w:cs="Times New Roman"/>
                <w:i/>
                <w:iCs/>
                <w:lang w:val="en-US"/>
              </w:rPr>
              <w:t>et al.</w:t>
            </w:r>
            <w:r w:rsidRPr="49001B5C">
              <w:rPr>
                <w:rFonts w:ascii="Times New Roman" w:eastAsia="Times New Roman" w:hAnsi="Times New Roman" w:cs="Times New Roman"/>
                <w:lang w:val="en-US"/>
              </w:rPr>
              <w:t xml:space="preserve"> 2016)</w:t>
            </w:r>
          </w:p>
        </w:tc>
      </w:tr>
    </w:tbl>
    <w:p w14:paraId="61FBA802" w14:textId="77777777" w:rsidR="00E63726" w:rsidRPr="005A0FC6" w:rsidRDefault="00E63726" w:rsidP="00E63726">
      <w:pPr>
        <w:spacing w:line="257" w:lineRule="auto"/>
        <w:rPr>
          <w:lang w:val="en-US"/>
        </w:rPr>
      </w:pPr>
      <w:r w:rsidRPr="7C5BD209">
        <w:rPr>
          <w:rFonts w:ascii="Times New Roman" w:eastAsia="Times New Roman" w:hAnsi="Times New Roman" w:cs="Times New Roman"/>
        </w:rPr>
        <w:t xml:space="preserve"> </w:t>
      </w:r>
    </w:p>
    <w:p w14:paraId="0E69468C" w14:textId="77777777" w:rsidR="00E63726" w:rsidRPr="005A0FC6" w:rsidRDefault="00E63726" w:rsidP="00E63726">
      <w:pPr>
        <w:spacing w:line="257" w:lineRule="auto"/>
        <w:rPr>
          <w:lang w:val="en-US"/>
        </w:rPr>
      </w:pPr>
      <w:r w:rsidRPr="7C5BD209">
        <w:rPr>
          <w:rFonts w:ascii="Times New Roman" w:eastAsia="Times New Roman" w:hAnsi="Times New Roman" w:cs="Times New Roman"/>
        </w:rPr>
        <w:t xml:space="preserve">European Commission, Directorate-General for Research and Innovation; Baker L, et al.: Reproducibility of scientific results in the EU: scoping report. Lusoli, W. (editor): Publications Office of the European Union,2020. 10.2777/341654 </w:t>
      </w:r>
    </w:p>
    <w:p w14:paraId="77C418F6" w14:textId="77777777" w:rsidR="00E63726" w:rsidRPr="005A0FC6" w:rsidRDefault="00E63726" w:rsidP="00E63726">
      <w:pPr>
        <w:spacing w:line="257" w:lineRule="auto"/>
        <w:rPr>
          <w:lang w:val="en-US"/>
        </w:rPr>
      </w:pPr>
      <w:r w:rsidRPr="7C5BD209">
        <w:rPr>
          <w:rFonts w:ascii="Times New Roman" w:eastAsia="Times New Roman" w:hAnsi="Times New Roman" w:cs="Times New Roman"/>
        </w:rPr>
        <w:t xml:space="preserve">European Commission, Directorate-General for Research and Innovation: Assessing the reproducibility of research results in EU Framework Programmes for Research: final report. Publications Office of the European Union,2022. 10.2777/186782  </w:t>
      </w:r>
    </w:p>
    <w:p w14:paraId="38FE86BC" w14:textId="77777777" w:rsidR="00E63726" w:rsidRPr="005A0FC6" w:rsidRDefault="00E63726" w:rsidP="00E63726">
      <w:pPr>
        <w:spacing w:line="257" w:lineRule="auto"/>
        <w:rPr>
          <w:lang w:val="en-US"/>
        </w:rPr>
      </w:pPr>
      <w:r w:rsidRPr="7C5BD209">
        <w:rPr>
          <w:rFonts w:ascii="Times New Roman" w:eastAsia="Times New Roman" w:hAnsi="Times New Roman" w:cs="Times New Roman"/>
        </w:rPr>
        <w:t xml:space="preserve">Goodman SN, Fanelli D, Ioannidis JP. What does research reproducibility mean? </w:t>
      </w:r>
      <w:r w:rsidRPr="7C5BD209">
        <w:rPr>
          <w:rFonts w:ascii="Times New Roman" w:eastAsia="Times New Roman" w:hAnsi="Times New Roman" w:cs="Times New Roman"/>
          <w:i/>
          <w:iCs/>
        </w:rPr>
        <w:t>Sci Transl Med</w:t>
      </w:r>
      <w:r w:rsidRPr="7C5BD209">
        <w:rPr>
          <w:rFonts w:ascii="Times New Roman" w:eastAsia="Times New Roman" w:hAnsi="Times New Roman" w:cs="Times New Roman"/>
        </w:rPr>
        <w:t>. 2016 Jun 1;8(341):341ps12. 10.1126/scitranslmed.aaf5027. PMID: 27252173</w:t>
      </w:r>
    </w:p>
    <w:p w14:paraId="1783AD65" w14:textId="77777777" w:rsidR="00E63726" w:rsidRPr="005A0FC6" w:rsidRDefault="00E63726" w:rsidP="00E63726">
      <w:pPr>
        <w:spacing w:line="257" w:lineRule="auto"/>
        <w:rPr>
          <w:lang w:val="en-US"/>
        </w:rPr>
      </w:pPr>
      <w:r w:rsidRPr="7C5BD209">
        <w:rPr>
          <w:rFonts w:ascii="Times New Roman" w:eastAsia="Times New Roman" w:hAnsi="Times New Roman" w:cs="Times New Roman"/>
        </w:rPr>
        <w:t xml:space="preserve">Nosek BA, Alter G, Banks GC, et al. Promoting an open research culture. </w:t>
      </w:r>
      <w:r w:rsidRPr="7C5BD209">
        <w:rPr>
          <w:rFonts w:ascii="Times New Roman" w:eastAsia="Times New Roman" w:hAnsi="Times New Roman" w:cs="Times New Roman"/>
          <w:i/>
          <w:iCs/>
        </w:rPr>
        <w:t>Science. 2015;</w:t>
      </w:r>
      <w:r w:rsidRPr="7C5BD209">
        <w:rPr>
          <w:rFonts w:ascii="Times New Roman" w:eastAsia="Times New Roman" w:hAnsi="Times New Roman" w:cs="Times New Roman"/>
        </w:rPr>
        <w:t xml:space="preserve">348:1422-1425 10.1126/science.aab2374 </w:t>
      </w:r>
    </w:p>
    <w:p w14:paraId="319FC007" w14:textId="77777777" w:rsidR="00E63726" w:rsidRPr="005A0FC6" w:rsidRDefault="00E63726" w:rsidP="00E63726">
      <w:pPr>
        <w:spacing w:line="257" w:lineRule="auto"/>
        <w:rPr>
          <w:lang w:val="en-US"/>
        </w:rPr>
      </w:pPr>
      <w:r w:rsidRPr="7C5BD209">
        <w:rPr>
          <w:rFonts w:ascii="Times New Roman" w:eastAsia="Times New Roman" w:hAnsi="Times New Roman" w:cs="Times New Roman"/>
        </w:rPr>
        <w:t xml:space="preserve">Nosek BA, Hardwicke TE, Moshontz H, et al. Replicability, robustness, and reproducibility in psychological science. </w:t>
      </w:r>
      <w:r w:rsidRPr="7C5BD209">
        <w:rPr>
          <w:rFonts w:ascii="Times New Roman" w:eastAsia="Times New Roman" w:hAnsi="Times New Roman" w:cs="Times New Roman"/>
          <w:i/>
          <w:iCs/>
        </w:rPr>
        <w:t>Annu Rev Psychol.</w:t>
      </w:r>
      <w:r w:rsidRPr="7C5BD209">
        <w:rPr>
          <w:rFonts w:ascii="Times New Roman" w:eastAsia="Times New Roman" w:hAnsi="Times New Roman" w:cs="Times New Roman"/>
        </w:rPr>
        <w:t xml:space="preserve"> 2022;73:719–748. 34665669 10.1146/annurev-psych-020821-114157</w:t>
      </w:r>
    </w:p>
    <w:p w14:paraId="58969932" w14:textId="77777777" w:rsidR="00E63726" w:rsidRPr="005A0FC6" w:rsidRDefault="00E63726" w:rsidP="00E63726">
      <w:pPr>
        <w:spacing w:line="257" w:lineRule="auto"/>
        <w:rPr>
          <w:lang w:val="en-US"/>
        </w:rPr>
      </w:pPr>
      <w:r w:rsidRPr="7C5BD209">
        <w:rPr>
          <w:rFonts w:ascii="Times New Roman" w:eastAsia="Times New Roman" w:hAnsi="Times New Roman" w:cs="Times New Roman"/>
        </w:rPr>
        <w:t xml:space="preserve">Parsons S, Azevedo F, Elsherif MM et al. A Community-Sourced Glossary of Open Scholarship Terms. </w:t>
      </w:r>
      <w:r w:rsidRPr="7C5BD209">
        <w:rPr>
          <w:rFonts w:ascii="Times New Roman" w:eastAsia="Times New Roman" w:hAnsi="Times New Roman" w:cs="Times New Roman"/>
          <w:i/>
          <w:iCs/>
        </w:rPr>
        <w:t>Nature human behaviour</w:t>
      </w:r>
      <w:r w:rsidRPr="7C5BD209">
        <w:rPr>
          <w:rFonts w:ascii="Times New Roman" w:eastAsia="Times New Roman" w:hAnsi="Times New Roman" w:cs="Times New Roman"/>
        </w:rPr>
        <w:t>;2022;6(3):312-318. 10.1038/s41562-021-01269-4</w:t>
      </w:r>
    </w:p>
    <w:p w14:paraId="247FE609" w14:textId="77777777" w:rsidR="00E63726" w:rsidRPr="005A0FC6" w:rsidRDefault="00E63726" w:rsidP="00E63726">
      <w:pPr>
        <w:spacing w:line="257" w:lineRule="auto"/>
        <w:rPr>
          <w:lang w:val="en-US"/>
        </w:rPr>
      </w:pPr>
      <w:r w:rsidRPr="7C5BD209">
        <w:rPr>
          <w:rFonts w:ascii="Times New Roman" w:eastAsia="Times New Roman" w:hAnsi="Times New Roman" w:cs="Times New Roman"/>
        </w:rPr>
        <w:t>The Turing Way Community. The Turing Way: A handbook for reproducible, ethical and collaborative research. 2022. Zenodo. 10.5281/zenodo.3233853.</w:t>
      </w:r>
    </w:p>
    <w:p w14:paraId="59A8BD10" w14:textId="77777777" w:rsidR="00E63726" w:rsidRPr="005A0FC6" w:rsidRDefault="00E63726" w:rsidP="00E63726">
      <w:pPr>
        <w:spacing w:line="257" w:lineRule="auto"/>
        <w:rPr>
          <w:lang w:val="en-US"/>
        </w:rPr>
      </w:pPr>
      <w:r w:rsidRPr="7C5BD209">
        <w:rPr>
          <w:rFonts w:ascii="Times New Roman" w:eastAsia="Times New Roman" w:hAnsi="Times New Roman" w:cs="Times New Roman"/>
        </w:rPr>
        <w:t xml:space="preserve">Waugh C &amp; Clark G. Factors affecting test reproducibility among laboratories. </w:t>
      </w:r>
      <w:r w:rsidRPr="7C5BD209">
        <w:rPr>
          <w:rFonts w:ascii="Times New Roman" w:eastAsia="Times New Roman" w:hAnsi="Times New Roman" w:cs="Times New Roman"/>
          <w:i/>
          <w:iCs/>
        </w:rPr>
        <w:t>Revue Scientifique et Technique de l’Office International des Epizooties; 2021;</w:t>
      </w:r>
      <w:r w:rsidRPr="7C5BD209">
        <w:rPr>
          <w:rFonts w:ascii="Times New Roman" w:eastAsia="Times New Roman" w:hAnsi="Times New Roman" w:cs="Times New Roman"/>
        </w:rPr>
        <w:t>40(1):31-143. 10.20506/RST.40.1.3213</w:t>
      </w:r>
    </w:p>
    <w:p w14:paraId="3969E7D4" w14:textId="77777777" w:rsidR="00E63726" w:rsidRPr="005A0FC6" w:rsidRDefault="00E63726" w:rsidP="00E63726">
      <w:pPr>
        <w:spacing w:line="257" w:lineRule="auto"/>
        <w:rPr>
          <w:lang w:val="en-US"/>
        </w:rPr>
      </w:pPr>
      <w:r w:rsidRPr="7C5BD209">
        <w:rPr>
          <w:rFonts w:ascii="Calibri" w:eastAsia="Calibri" w:hAnsi="Calibri" w:cs="Calibri"/>
        </w:rPr>
        <w:t xml:space="preserve"> </w:t>
      </w:r>
    </w:p>
    <w:p w14:paraId="2EEF81C4" w14:textId="77777777" w:rsidR="00E63726" w:rsidRPr="005A0FC6" w:rsidRDefault="00E63726" w:rsidP="00E63726">
      <w:pPr>
        <w:spacing w:after="0"/>
        <w:rPr>
          <w:lang w:val="en-US"/>
        </w:rPr>
      </w:pPr>
    </w:p>
    <w:p w14:paraId="3551F633" w14:textId="77777777" w:rsidR="00E63726" w:rsidRPr="005A0FC6" w:rsidRDefault="00E63726" w:rsidP="00E63726">
      <w:pPr>
        <w:rPr>
          <w:lang w:val="en-US"/>
        </w:rPr>
      </w:pPr>
    </w:p>
    <w:p w14:paraId="245ECCA2" w14:textId="77777777" w:rsidR="00E63726" w:rsidRPr="005A0FC6" w:rsidRDefault="00E63726" w:rsidP="00E63726">
      <w:pPr>
        <w:rPr>
          <w:lang w:val="en-US"/>
        </w:rPr>
      </w:pPr>
      <w:r w:rsidRPr="005A0FC6">
        <w:rPr>
          <w:lang w:val="en-US"/>
        </w:rPr>
        <w:br w:type="page"/>
      </w:r>
    </w:p>
    <w:p w14:paraId="63DD2EFA" w14:textId="77777777" w:rsidR="00E63726" w:rsidRDefault="00E63726" w:rsidP="00E63726">
      <w:pPr>
        <w:pStyle w:val="Kop1"/>
        <w:rPr>
          <w:lang w:val="en-GB"/>
        </w:rPr>
      </w:pPr>
      <w:r>
        <w:rPr>
          <w:lang w:val="en-GB"/>
        </w:rPr>
        <w:lastRenderedPageBreak/>
        <w:t>7</w:t>
      </w:r>
      <w:r w:rsidRPr="27655796">
        <w:rPr>
          <w:lang w:val="en-GB"/>
        </w:rPr>
        <w:t>.Preferred Reporting Items for Systematic reviews and Meta-Analyses extension for Scoping Reviews (PRISMA-ScR) Checklist</w:t>
      </w:r>
    </w:p>
    <w:tbl>
      <w:tblPr>
        <w:tblStyle w:val="Tabelraster"/>
        <w:tblW w:w="9145" w:type="dxa"/>
        <w:tblLayout w:type="fixed"/>
        <w:tblLook w:val="04A0" w:firstRow="1" w:lastRow="0" w:firstColumn="1" w:lastColumn="0" w:noHBand="0" w:noVBand="1"/>
      </w:tblPr>
      <w:tblGrid>
        <w:gridCol w:w="1458"/>
        <w:gridCol w:w="465"/>
        <w:gridCol w:w="5975"/>
        <w:gridCol w:w="1247"/>
      </w:tblGrid>
      <w:tr w:rsidR="00E63726" w14:paraId="39F62CDC" w14:textId="77777777" w:rsidTr="00555A56">
        <w:trPr>
          <w:trHeight w:val="300"/>
        </w:trPr>
        <w:tc>
          <w:tcPr>
            <w:tcW w:w="1458" w:type="dxa"/>
            <w:tcMar>
              <w:left w:w="108" w:type="dxa"/>
              <w:right w:w="108" w:type="dxa"/>
            </w:tcMar>
            <w:vAlign w:val="center"/>
          </w:tcPr>
          <w:p w14:paraId="37601BA4" w14:textId="77777777" w:rsidR="00E63726" w:rsidRDefault="00E63726" w:rsidP="00555A56">
            <w:pPr>
              <w:rPr>
                <w:rFonts w:ascii="Times New Roman" w:eastAsia="Times New Roman" w:hAnsi="Times New Roman" w:cs="Times New Roman"/>
                <w:b/>
                <w:bCs/>
                <w:color w:val="000000" w:themeColor="text1"/>
                <w:sz w:val="20"/>
                <w:szCs w:val="20"/>
                <w:lang w:val="en-US"/>
              </w:rPr>
            </w:pPr>
            <w:r w:rsidRPr="19D72ED3">
              <w:rPr>
                <w:rFonts w:ascii="Times New Roman" w:eastAsia="Times New Roman" w:hAnsi="Times New Roman" w:cs="Times New Roman"/>
                <w:b/>
                <w:bCs/>
                <w:color w:val="000000" w:themeColor="text1"/>
                <w:sz w:val="20"/>
                <w:szCs w:val="20"/>
                <w:lang w:val="en-US"/>
              </w:rPr>
              <w:t>Section</w:t>
            </w:r>
          </w:p>
        </w:tc>
        <w:tc>
          <w:tcPr>
            <w:tcW w:w="465" w:type="dxa"/>
            <w:tcMar>
              <w:left w:w="108" w:type="dxa"/>
              <w:right w:w="108" w:type="dxa"/>
            </w:tcMar>
            <w:vAlign w:val="center"/>
          </w:tcPr>
          <w:p w14:paraId="7D112EDA" w14:textId="77777777" w:rsidR="00E63726" w:rsidRDefault="00E63726" w:rsidP="00555A56">
            <w:pPr>
              <w:jc w:val="center"/>
              <w:rPr>
                <w:rFonts w:ascii="Times New Roman" w:eastAsia="Times New Roman" w:hAnsi="Times New Roman" w:cs="Times New Roman"/>
                <w:b/>
                <w:bCs/>
                <w:color w:val="000000" w:themeColor="text1"/>
                <w:sz w:val="20"/>
                <w:szCs w:val="20"/>
                <w:lang w:val="en-US"/>
              </w:rPr>
            </w:pPr>
          </w:p>
        </w:tc>
        <w:tc>
          <w:tcPr>
            <w:tcW w:w="5975" w:type="dxa"/>
            <w:tcMar>
              <w:left w:w="108" w:type="dxa"/>
              <w:right w:w="108" w:type="dxa"/>
            </w:tcMar>
            <w:vAlign w:val="center"/>
          </w:tcPr>
          <w:p w14:paraId="173F5DF4" w14:textId="77777777" w:rsidR="00E63726" w:rsidRDefault="00E63726" w:rsidP="00555A56">
            <w:pPr>
              <w:rPr>
                <w:rFonts w:ascii="Times New Roman" w:eastAsia="Times New Roman" w:hAnsi="Times New Roman" w:cs="Times New Roman"/>
                <w:b/>
                <w:bCs/>
                <w:color w:val="000000" w:themeColor="text1"/>
                <w:sz w:val="20"/>
                <w:szCs w:val="20"/>
                <w:lang w:val="en-US"/>
              </w:rPr>
            </w:pPr>
            <w:r w:rsidRPr="19D72ED3">
              <w:rPr>
                <w:rFonts w:ascii="Times New Roman" w:eastAsia="Times New Roman" w:hAnsi="Times New Roman" w:cs="Times New Roman"/>
                <w:b/>
                <w:bCs/>
                <w:color w:val="000000" w:themeColor="text1"/>
                <w:sz w:val="20"/>
                <w:szCs w:val="20"/>
                <w:lang w:val="en-US"/>
              </w:rPr>
              <w:t>PRISMA-ScR checklist item</w:t>
            </w:r>
          </w:p>
        </w:tc>
        <w:tc>
          <w:tcPr>
            <w:tcW w:w="1247" w:type="dxa"/>
            <w:tcMar>
              <w:left w:w="108" w:type="dxa"/>
              <w:right w:w="108" w:type="dxa"/>
            </w:tcMar>
            <w:vAlign w:val="center"/>
          </w:tcPr>
          <w:p w14:paraId="75041DBF" w14:textId="77777777" w:rsidR="00E63726" w:rsidRDefault="00E63726" w:rsidP="00555A56">
            <w:pPr>
              <w:rPr>
                <w:rFonts w:ascii="Times New Roman" w:eastAsia="Times New Roman" w:hAnsi="Times New Roman" w:cs="Times New Roman"/>
                <w:b/>
                <w:bCs/>
                <w:color w:val="000000" w:themeColor="text1"/>
                <w:sz w:val="20"/>
                <w:szCs w:val="20"/>
                <w:lang w:val="en-US"/>
              </w:rPr>
            </w:pPr>
            <w:r w:rsidRPr="19D72ED3">
              <w:rPr>
                <w:rFonts w:ascii="Times New Roman" w:eastAsia="Times New Roman" w:hAnsi="Times New Roman" w:cs="Times New Roman"/>
                <w:b/>
                <w:bCs/>
                <w:color w:val="000000" w:themeColor="text1"/>
                <w:sz w:val="20"/>
                <w:szCs w:val="20"/>
                <w:lang w:val="en-US"/>
              </w:rPr>
              <w:t>Reported on page #</w:t>
            </w:r>
          </w:p>
        </w:tc>
      </w:tr>
      <w:tr w:rsidR="00E63726" w14:paraId="5D687A33" w14:textId="77777777" w:rsidTr="00555A56">
        <w:trPr>
          <w:trHeight w:val="300"/>
        </w:trPr>
        <w:tc>
          <w:tcPr>
            <w:tcW w:w="9145" w:type="dxa"/>
            <w:gridSpan w:val="4"/>
            <w:tcMar>
              <w:left w:w="108" w:type="dxa"/>
              <w:right w:w="108" w:type="dxa"/>
            </w:tcMar>
            <w:vAlign w:val="center"/>
          </w:tcPr>
          <w:p w14:paraId="3423D328" w14:textId="77777777" w:rsidR="00E63726" w:rsidRDefault="00E63726" w:rsidP="00555A56">
            <w:pPr>
              <w:rPr>
                <w:rFonts w:ascii="Times New Roman" w:eastAsia="Times New Roman" w:hAnsi="Times New Roman" w:cs="Times New Roman"/>
                <w:b/>
                <w:bCs/>
                <w:color w:val="000000" w:themeColor="text1"/>
                <w:sz w:val="20"/>
                <w:szCs w:val="20"/>
                <w:lang w:val="en-US"/>
              </w:rPr>
            </w:pPr>
            <w:r w:rsidRPr="19D72ED3">
              <w:rPr>
                <w:rFonts w:ascii="Times New Roman" w:eastAsia="Times New Roman" w:hAnsi="Times New Roman" w:cs="Times New Roman"/>
                <w:b/>
                <w:bCs/>
                <w:color w:val="000000" w:themeColor="text1"/>
                <w:sz w:val="20"/>
                <w:szCs w:val="20"/>
                <w:lang w:val="en-US"/>
              </w:rPr>
              <w:t>Title</w:t>
            </w:r>
          </w:p>
        </w:tc>
      </w:tr>
      <w:tr w:rsidR="00E63726" w14:paraId="42A87B48" w14:textId="77777777" w:rsidTr="00555A56">
        <w:trPr>
          <w:trHeight w:val="300"/>
        </w:trPr>
        <w:tc>
          <w:tcPr>
            <w:tcW w:w="1458" w:type="dxa"/>
            <w:tcMar>
              <w:left w:w="108" w:type="dxa"/>
              <w:right w:w="108" w:type="dxa"/>
            </w:tcMar>
            <w:vAlign w:val="center"/>
          </w:tcPr>
          <w:p w14:paraId="0C24DA1C" w14:textId="77777777" w:rsidR="00E63726" w:rsidRDefault="00E63726" w:rsidP="00555A56">
            <w:pPr>
              <w:ind w:left="180"/>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Title</w:t>
            </w:r>
          </w:p>
        </w:tc>
        <w:tc>
          <w:tcPr>
            <w:tcW w:w="465" w:type="dxa"/>
            <w:tcMar>
              <w:left w:w="108" w:type="dxa"/>
              <w:right w:w="108" w:type="dxa"/>
            </w:tcMar>
            <w:vAlign w:val="center"/>
          </w:tcPr>
          <w:p w14:paraId="7CD02701" w14:textId="77777777" w:rsidR="00E63726" w:rsidRDefault="00E63726" w:rsidP="00555A56">
            <w:pPr>
              <w:jc w:val="cente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1</w:t>
            </w:r>
          </w:p>
        </w:tc>
        <w:tc>
          <w:tcPr>
            <w:tcW w:w="5975" w:type="dxa"/>
            <w:tcMar>
              <w:left w:w="108" w:type="dxa"/>
              <w:right w:w="108" w:type="dxa"/>
            </w:tcMar>
            <w:vAlign w:val="center"/>
          </w:tcPr>
          <w:p w14:paraId="58755277"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Identify the report as a scoping review.</w:t>
            </w:r>
          </w:p>
        </w:tc>
        <w:tc>
          <w:tcPr>
            <w:tcW w:w="1247" w:type="dxa"/>
            <w:tcMar>
              <w:left w:w="108" w:type="dxa"/>
              <w:right w:w="108" w:type="dxa"/>
            </w:tcMar>
            <w:vAlign w:val="center"/>
          </w:tcPr>
          <w:p w14:paraId="27E977DF"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Page 1 and 2</w:t>
            </w:r>
          </w:p>
        </w:tc>
      </w:tr>
      <w:tr w:rsidR="00E63726" w14:paraId="7163A5B4" w14:textId="77777777" w:rsidTr="00555A56">
        <w:trPr>
          <w:trHeight w:val="300"/>
        </w:trPr>
        <w:tc>
          <w:tcPr>
            <w:tcW w:w="9145" w:type="dxa"/>
            <w:gridSpan w:val="4"/>
            <w:tcMar>
              <w:left w:w="108" w:type="dxa"/>
              <w:right w:w="108" w:type="dxa"/>
            </w:tcMar>
            <w:vAlign w:val="center"/>
          </w:tcPr>
          <w:p w14:paraId="548E47C1" w14:textId="77777777" w:rsidR="00E63726" w:rsidRDefault="00E63726" w:rsidP="00555A56">
            <w:pPr>
              <w:rPr>
                <w:rFonts w:ascii="Times New Roman" w:eastAsia="Times New Roman" w:hAnsi="Times New Roman" w:cs="Times New Roman"/>
                <w:b/>
                <w:bCs/>
                <w:color w:val="000000" w:themeColor="text1"/>
                <w:sz w:val="20"/>
                <w:szCs w:val="20"/>
                <w:lang w:val="en-US"/>
              </w:rPr>
            </w:pPr>
            <w:r w:rsidRPr="19D72ED3">
              <w:rPr>
                <w:rFonts w:ascii="Times New Roman" w:eastAsia="Times New Roman" w:hAnsi="Times New Roman" w:cs="Times New Roman"/>
                <w:b/>
                <w:bCs/>
                <w:color w:val="000000" w:themeColor="text1"/>
                <w:sz w:val="20"/>
                <w:szCs w:val="20"/>
                <w:lang w:val="en-US"/>
              </w:rPr>
              <w:t>Abstract</w:t>
            </w:r>
          </w:p>
        </w:tc>
      </w:tr>
      <w:tr w:rsidR="00E63726" w14:paraId="48C70C2F" w14:textId="77777777" w:rsidTr="00555A56">
        <w:trPr>
          <w:trHeight w:val="300"/>
        </w:trPr>
        <w:tc>
          <w:tcPr>
            <w:tcW w:w="1458" w:type="dxa"/>
            <w:tcMar>
              <w:left w:w="108" w:type="dxa"/>
              <w:right w:w="108" w:type="dxa"/>
            </w:tcMar>
            <w:vAlign w:val="center"/>
          </w:tcPr>
          <w:p w14:paraId="16D8EE7E" w14:textId="77777777" w:rsidR="00E63726" w:rsidRDefault="00E63726" w:rsidP="00555A56">
            <w:pPr>
              <w:ind w:left="180"/>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Structured summary</w:t>
            </w:r>
          </w:p>
        </w:tc>
        <w:tc>
          <w:tcPr>
            <w:tcW w:w="465" w:type="dxa"/>
            <w:tcMar>
              <w:left w:w="108" w:type="dxa"/>
              <w:right w:w="108" w:type="dxa"/>
            </w:tcMar>
            <w:vAlign w:val="center"/>
          </w:tcPr>
          <w:p w14:paraId="1B42143E" w14:textId="77777777" w:rsidR="00E63726" w:rsidRDefault="00E63726" w:rsidP="00555A56">
            <w:pPr>
              <w:jc w:val="cente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2</w:t>
            </w:r>
          </w:p>
        </w:tc>
        <w:tc>
          <w:tcPr>
            <w:tcW w:w="5975" w:type="dxa"/>
            <w:tcMar>
              <w:left w:w="108" w:type="dxa"/>
              <w:right w:w="108" w:type="dxa"/>
            </w:tcMar>
            <w:vAlign w:val="center"/>
          </w:tcPr>
          <w:p w14:paraId="510F5867"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Provide a structured summary that includes (as applicable): background, objectives, eligibility criteria, sources of evidence, charting methods, results, and conclusions that relate to the review questions and objectives.</w:t>
            </w:r>
          </w:p>
        </w:tc>
        <w:tc>
          <w:tcPr>
            <w:tcW w:w="1247" w:type="dxa"/>
            <w:tcMar>
              <w:left w:w="108" w:type="dxa"/>
              <w:right w:w="108" w:type="dxa"/>
            </w:tcMar>
            <w:vAlign w:val="center"/>
          </w:tcPr>
          <w:p w14:paraId="54BF4501"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Page 2, though unstructured</w:t>
            </w:r>
          </w:p>
        </w:tc>
      </w:tr>
      <w:tr w:rsidR="00E63726" w14:paraId="6F32BC06" w14:textId="77777777" w:rsidTr="00555A56">
        <w:trPr>
          <w:trHeight w:val="300"/>
        </w:trPr>
        <w:tc>
          <w:tcPr>
            <w:tcW w:w="9145" w:type="dxa"/>
            <w:gridSpan w:val="4"/>
            <w:tcMar>
              <w:left w:w="108" w:type="dxa"/>
              <w:right w:w="108" w:type="dxa"/>
            </w:tcMar>
            <w:vAlign w:val="center"/>
          </w:tcPr>
          <w:p w14:paraId="172B323B" w14:textId="77777777" w:rsidR="00E63726" w:rsidRDefault="00E63726" w:rsidP="00555A56">
            <w:pPr>
              <w:tabs>
                <w:tab w:val="left" w:pos="1774"/>
              </w:tabs>
              <w:rPr>
                <w:rFonts w:ascii="Times New Roman" w:eastAsia="Times New Roman" w:hAnsi="Times New Roman" w:cs="Times New Roman"/>
                <w:b/>
                <w:bCs/>
                <w:color w:val="000000" w:themeColor="text1"/>
                <w:sz w:val="20"/>
                <w:szCs w:val="20"/>
                <w:lang w:val="en-US"/>
              </w:rPr>
            </w:pPr>
            <w:r w:rsidRPr="19D72ED3">
              <w:rPr>
                <w:rFonts w:ascii="Times New Roman" w:eastAsia="Times New Roman" w:hAnsi="Times New Roman" w:cs="Times New Roman"/>
                <w:b/>
                <w:bCs/>
                <w:color w:val="000000" w:themeColor="text1"/>
                <w:sz w:val="20"/>
                <w:szCs w:val="20"/>
                <w:lang w:val="en-US"/>
              </w:rPr>
              <w:t>Iintroduction</w:t>
            </w:r>
          </w:p>
        </w:tc>
      </w:tr>
      <w:tr w:rsidR="00E63726" w:rsidRPr="005A0FC6" w14:paraId="0CC5B108" w14:textId="77777777" w:rsidTr="00555A56">
        <w:trPr>
          <w:trHeight w:val="525"/>
        </w:trPr>
        <w:tc>
          <w:tcPr>
            <w:tcW w:w="1458" w:type="dxa"/>
            <w:tcMar>
              <w:left w:w="108" w:type="dxa"/>
              <w:right w:w="108" w:type="dxa"/>
            </w:tcMar>
            <w:vAlign w:val="center"/>
          </w:tcPr>
          <w:p w14:paraId="08643409" w14:textId="77777777" w:rsidR="00E63726" w:rsidRDefault="00E63726" w:rsidP="00555A56">
            <w:pPr>
              <w:ind w:left="180"/>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Rationale</w:t>
            </w:r>
          </w:p>
        </w:tc>
        <w:tc>
          <w:tcPr>
            <w:tcW w:w="465" w:type="dxa"/>
            <w:tcMar>
              <w:left w:w="108" w:type="dxa"/>
              <w:right w:w="108" w:type="dxa"/>
            </w:tcMar>
            <w:vAlign w:val="center"/>
          </w:tcPr>
          <w:p w14:paraId="072CE882" w14:textId="77777777" w:rsidR="00E63726" w:rsidRDefault="00E63726" w:rsidP="00555A56">
            <w:pPr>
              <w:jc w:val="cente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3</w:t>
            </w:r>
          </w:p>
        </w:tc>
        <w:tc>
          <w:tcPr>
            <w:tcW w:w="5975" w:type="dxa"/>
            <w:tcMar>
              <w:left w:w="108" w:type="dxa"/>
              <w:right w:w="108" w:type="dxa"/>
            </w:tcMar>
            <w:vAlign w:val="center"/>
          </w:tcPr>
          <w:p w14:paraId="60E06F48"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Describe the rationale for the review in the context of what is already known. Explain why the review questions/objectives lend themselves to a scoping review approach.</w:t>
            </w:r>
          </w:p>
        </w:tc>
        <w:tc>
          <w:tcPr>
            <w:tcW w:w="1247" w:type="dxa"/>
            <w:tcMar>
              <w:left w:w="108" w:type="dxa"/>
              <w:right w:w="108" w:type="dxa"/>
            </w:tcMar>
            <w:vAlign w:val="center"/>
          </w:tcPr>
          <w:p w14:paraId="1D1A15DE"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Page 4, last paragraph of introduction</w:t>
            </w:r>
          </w:p>
        </w:tc>
      </w:tr>
      <w:tr w:rsidR="00E63726" w14:paraId="64046DA4" w14:textId="77777777" w:rsidTr="00555A56">
        <w:trPr>
          <w:trHeight w:val="795"/>
        </w:trPr>
        <w:tc>
          <w:tcPr>
            <w:tcW w:w="1458" w:type="dxa"/>
            <w:tcMar>
              <w:left w:w="108" w:type="dxa"/>
              <w:right w:w="108" w:type="dxa"/>
            </w:tcMar>
            <w:vAlign w:val="center"/>
          </w:tcPr>
          <w:p w14:paraId="1725290B" w14:textId="77777777" w:rsidR="00E63726" w:rsidRDefault="00E63726" w:rsidP="00555A56">
            <w:pPr>
              <w:ind w:left="180"/>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Objectives</w:t>
            </w:r>
          </w:p>
        </w:tc>
        <w:tc>
          <w:tcPr>
            <w:tcW w:w="465" w:type="dxa"/>
            <w:tcMar>
              <w:left w:w="108" w:type="dxa"/>
              <w:right w:w="108" w:type="dxa"/>
            </w:tcMar>
            <w:vAlign w:val="center"/>
          </w:tcPr>
          <w:p w14:paraId="07A45A20" w14:textId="77777777" w:rsidR="00E63726" w:rsidRDefault="00E63726" w:rsidP="00555A56">
            <w:pPr>
              <w:jc w:val="cente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4</w:t>
            </w:r>
          </w:p>
        </w:tc>
        <w:tc>
          <w:tcPr>
            <w:tcW w:w="5975" w:type="dxa"/>
            <w:tcMar>
              <w:left w:w="108" w:type="dxa"/>
              <w:right w:w="108" w:type="dxa"/>
            </w:tcMar>
            <w:vAlign w:val="center"/>
          </w:tcPr>
          <w:p w14:paraId="472229E8"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Provide an explicit statement of the questions and objectives being addressed with reference to their key elements (e.g., population or participants, concepts, and context) or other relevant key elements used to conceptualize the review questions and/or objectives.</w:t>
            </w:r>
          </w:p>
        </w:tc>
        <w:tc>
          <w:tcPr>
            <w:tcW w:w="1247" w:type="dxa"/>
            <w:tcMar>
              <w:left w:w="108" w:type="dxa"/>
              <w:right w:w="108" w:type="dxa"/>
            </w:tcMar>
            <w:vAlign w:val="center"/>
          </w:tcPr>
          <w:p w14:paraId="04AE9089"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 xml:space="preserve"> </w:t>
            </w:r>
          </w:p>
          <w:p w14:paraId="37EB96C9"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Page 5</w:t>
            </w:r>
          </w:p>
        </w:tc>
      </w:tr>
      <w:tr w:rsidR="00E63726" w14:paraId="27656B0F" w14:textId="77777777" w:rsidTr="00555A56">
        <w:trPr>
          <w:trHeight w:val="300"/>
        </w:trPr>
        <w:tc>
          <w:tcPr>
            <w:tcW w:w="9145" w:type="dxa"/>
            <w:gridSpan w:val="4"/>
            <w:tcMar>
              <w:left w:w="108" w:type="dxa"/>
              <w:right w:w="108" w:type="dxa"/>
            </w:tcMar>
            <w:vAlign w:val="center"/>
          </w:tcPr>
          <w:p w14:paraId="18EF1781" w14:textId="77777777" w:rsidR="00E63726" w:rsidRDefault="00E63726" w:rsidP="00555A56">
            <w:pPr>
              <w:rPr>
                <w:rFonts w:ascii="Times New Roman" w:eastAsia="Times New Roman" w:hAnsi="Times New Roman" w:cs="Times New Roman"/>
                <w:b/>
                <w:bCs/>
                <w:color w:val="000000" w:themeColor="text1"/>
                <w:sz w:val="20"/>
                <w:szCs w:val="20"/>
                <w:lang w:val="en-US"/>
              </w:rPr>
            </w:pPr>
            <w:r w:rsidRPr="19D72ED3">
              <w:rPr>
                <w:rFonts w:ascii="Times New Roman" w:eastAsia="Times New Roman" w:hAnsi="Times New Roman" w:cs="Times New Roman"/>
                <w:b/>
                <w:bCs/>
                <w:color w:val="000000" w:themeColor="text1"/>
                <w:sz w:val="20"/>
                <w:szCs w:val="20"/>
                <w:lang w:val="en-US"/>
              </w:rPr>
              <w:t>Methods</w:t>
            </w:r>
          </w:p>
        </w:tc>
      </w:tr>
      <w:tr w:rsidR="00E63726" w:rsidRPr="005A0FC6" w14:paraId="0873BBEA" w14:textId="77777777" w:rsidTr="00555A56">
        <w:trPr>
          <w:trHeight w:val="300"/>
        </w:trPr>
        <w:tc>
          <w:tcPr>
            <w:tcW w:w="1458" w:type="dxa"/>
            <w:tcMar>
              <w:left w:w="108" w:type="dxa"/>
              <w:right w:w="108" w:type="dxa"/>
            </w:tcMar>
            <w:vAlign w:val="center"/>
          </w:tcPr>
          <w:p w14:paraId="78C8E4F4" w14:textId="77777777" w:rsidR="00E63726" w:rsidRDefault="00E63726" w:rsidP="00555A56">
            <w:pPr>
              <w:ind w:left="180"/>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Protocol and registration</w:t>
            </w:r>
          </w:p>
        </w:tc>
        <w:tc>
          <w:tcPr>
            <w:tcW w:w="465" w:type="dxa"/>
            <w:tcMar>
              <w:left w:w="108" w:type="dxa"/>
              <w:right w:w="108" w:type="dxa"/>
            </w:tcMar>
            <w:vAlign w:val="center"/>
          </w:tcPr>
          <w:p w14:paraId="4E0461EC" w14:textId="77777777" w:rsidR="00E63726" w:rsidRDefault="00E63726" w:rsidP="00555A56">
            <w:pPr>
              <w:jc w:val="cente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5</w:t>
            </w:r>
          </w:p>
        </w:tc>
        <w:tc>
          <w:tcPr>
            <w:tcW w:w="5975" w:type="dxa"/>
            <w:tcMar>
              <w:left w:w="108" w:type="dxa"/>
              <w:right w:w="108" w:type="dxa"/>
            </w:tcMar>
            <w:vAlign w:val="center"/>
          </w:tcPr>
          <w:p w14:paraId="192D6930"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Indicate whether a review protocol exists; state if and where it can be accessed (e.g., a Web address); and if available, provide registration information, including the registration number.</w:t>
            </w:r>
          </w:p>
        </w:tc>
        <w:tc>
          <w:tcPr>
            <w:tcW w:w="1247" w:type="dxa"/>
            <w:tcMar>
              <w:left w:w="108" w:type="dxa"/>
              <w:right w:w="108" w:type="dxa"/>
            </w:tcMar>
            <w:vAlign w:val="center"/>
          </w:tcPr>
          <w:p w14:paraId="7E2910BA"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Page 5; first section of Methods</w:t>
            </w:r>
          </w:p>
        </w:tc>
      </w:tr>
      <w:tr w:rsidR="00E63726" w14:paraId="3B764586" w14:textId="77777777" w:rsidTr="00555A56">
        <w:trPr>
          <w:trHeight w:val="300"/>
        </w:trPr>
        <w:tc>
          <w:tcPr>
            <w:tcW w:w="1458" w:type="dxa"/>
            <w:tcMar>
              <w:left w:w="108" w:type="dxa"/>
              <w:right w:w="108" w:type="dxa"/>
            </w:tcMar>
            <w:vAlign w:val="center"/>
          </w:tcPr>
          <w:p w14:paraId="5AFCBBB9" w14:textId="77777777" w:rsidR="00E63726" w:rsidRDefault="00E63726" w:rsidP="00555A56">
            <w:pPr>
              <w:ind w:left="180"/>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Eligibility criteria</w:t>
            </w:r>
          </w:p>
        </w:tc>
        <w:tc>
          <w:tcPr>
            <w:tcW w:w="465" w:type="dxa"/>
            <w:tcMar>
              <w:left w:w="108" w:type="dxa"/>
              <w:right w:w="108" w:type="dxa"/>
            </w:tcMar>
            <w:vAlign w:val="center"/>
          </w:tcPr>
          <w:p w14:paraId="2CBA9F7F" w14:textId="77777777" w:rsidR="00E63726" w:rsidRDefault="00E63726" w:rsidP="00555A56">
            <w:pPr>
              <w:jc w:val="cente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6</w:t>
            </w:r>
          </w:p>
        </w:tc>
        <w:tc>
          <w:tcPr>
            <w:tcW w:w="5975" w:type="dxa"/>
            <w:tcMar>
              <w:left w:w="108" w:type="dxa"/>
              <w:right w:w="108" w:type="dxa"/>
            </w:tcMar>
            <w:vAlign w:val="center"/>
          </w:tcPr>
          <w:p w14:paraId="0E858536"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Specify characteristics of the sources of evidence used as eligibility criteria (e.g., years considered, language, and publication status), and provide a rationale.</w:t>
            </w:r>
          </w:p>
        </w:tc>
        <w:tc>
          <w:tcPr>
            <w:tcW w:w="1247" w:type="dxa"/>
            <w:tcMar>
              <w:left w:w="108" w:type="dxa"/>
              <w:right w:w="108" w:type="dxa"/>
            </w:tcMar>
            <w:vAlign w:val="center"/>
          </w:tcPr>
          <w:p w14:paraId="33541354"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Page 5 to 7</w:t>
            </w:r>
          </w:p>
        </w:tc>
      </w:tr>
      <w:tr w:rsidR="00E63726" w14:paraId="7DD97484" w14:textId="77777777" w:rsidTr="00555A56">
        <w:trPr>
          <w:trHeight w:val="255"/>
        </w:trPr>
        <w:tc>
          <w:tcPr>
            <w:tcW w:w="1458" w:type="dxa"/>
            <w:tcMar>
              <w:left w:w="108" w:type="dxa"/>
              <w:right w:w="108" w:type="dxa"/>
            </w:tcMar>
            <w:vAlign w:val="center"/>
          </w:tcPr>
          <w:p w14:paraId="4355EE83" w14:textId="77777777" w:rsidR="00E63726" w:rsidRDefault="00E63726" w:rsidP="00555A56">
            <w:pPr>
              <w:ind w:left="180"/>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Information sources*</w:t>
            </w:r>
          </w:p>
        </w:tc>
        <w:tc>
          <w:tcPr>
            <w:tcW w:w="465" w:type="dxa"/>
            <w:tcMar>
              <w:left w:w="108" w:type="dxa"/>
              <w:right w:w="108" w:type="dxa"/>
            </w:tcMar>
            <w:vAlign w:val="center"/>
          </w:tcPr>
          <w:p w14:paraId="52ABE058" w14:textId="77777777" w:rsidR="00E63726" w:rsidRDefault="00E63726" w:rsidP="00555A56">
            <w:pPr>
              <w:jc w:val="cente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7</w:t>
            </w:r>
          </w:p>
        </w:tc>
        <w:tc>
          <w:tcPr>
            <w:tcW w:w="5975" w:type="dxa"/>
            <w:tcMar>
              <w:left w:w="108" w:type="dxa"/>
              <w:right w:w="108" w:type="dxa"/>
            </w:tcMar>
            <w:vAlign w:val="center"/>
          </w:tcPr>
          <w:p w14:paraId="26CA781F"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Describe all information sources in the search (e.g., databases with dates of coverage and contact with authors to identify additional sources), as well as the date the most recent search was executed.</w:t>
            </w:r>
          </w:p>
        </w:tc>
        <w:tc>
          <w:tcPr>
            <w:tcW w:w="1247" w:type="dxa"/>
            <w:tcMar>
              <w:left w:w="108" w:type="dxa"/>
              <w:right w:w="108" w:type="dxa"/>
            </w:tcMar>
            <w:vAlign w:val="center"/>
          </w:tcPr>
          <w:p w14:paraId="406F032C"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Page 7</w:t>
            </w:r>
          </w:p>
        </w:tc>
      </w:tr>
      <w:tr w:rsidR="00E63726" w14:paraId="11B010E8" w14:textId="77777777" w:rsidTr="00555A56">
        <w:trPr>
          <w:trHeight w:val="300"/>
        </w:trPr>
        <w:tc>
          <w:tcPr>
            <w:tcW w:w="1458" w:type="dxa"/>
            <w:tcMar>
              <w:left w:w="108" w:type="dxa"/>
              <w:right w:w="108" w:type="dxa"/>
            </w:tcMar>
            <w:vAlign w:val="center"/>
          </w:tcPr>
          <w:p w14:paraId="1A57DB60" w14:textId="77777777" w:rsidR="00E63726" w:rsidRDefault="00E63726" w:rsidP="00555A56">
            <w:pPr>
              <w:ind w:left="180"/>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Search</w:t>
            </w:r>
          </w:p>
        </w:tc>
        <w:tc>
          <w:tcPr>
            <w:tcW w:w="465" w:type="dxa"/>
            <w:tcMar>
              <w:left w:w="108" w:type="dxa"/>
              <w:right w:w="108" w:type="dxa"/>
            </w:tcMar>
            <w:vAlign w:val="center"/>
          </w:tcPr>
          <w:p w14:paraId="3787A93F" w14:textId="77777777" w:rsidR="00E63726" w:rsidRDefault="00E63726" w:rsidP="00555A56">
            <w:pPr>
              <w:jc w:val="cente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8</w:t>
            </w:r>
          </w:p>
        </w:tc>
        <w:tc>
          <w:tcPr>
            <w:tcW w:w="5975" w:type="dxa"/>
            <w:tcMar>
              <w:left w:w="108" w:type="dxa"/>
              <w:right w:w="108" w:type="dxa"/>
            </w:tcMar>
            <w:vAlign w:val="center"/>
          </w:tcPr>
          <w:p w14:paraId="6A74B8A4"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Present the full electronic search strategy for at least 1 database, including any limits used, such that it could be repeated.</w:t>
            </w:r>
          </w:p>
        </w:tc>
        <w:tc>
          <w:tcPr>
            <w:tcW w:w="1247" w:type="dxa"/>
            <w:tcMar>
              <w:left w:w="108" w:type="dxa"/>
              <w:right w:w="108" w:type="dxa"/>
            </w:tcMar>
            <w:vAlign w:val="center"/>
          </w:tcPr>
          <w:p w14:paraId="1ADC54DB"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Supplemental file 2</w:t>
            </w:r>
          </w:p>
        </w:tc>
      </w:tr>
      <w:tr w:rsidR="00E63726" w14:paraId="23065F84" w14:textId="77777777" w:rsidTr="00555A56">
        <w:trPr>
          <w:trHeight w:val="300"/>
        </w:trPr>
        <w:tc>
          <w:tcPr>
            <w:tcW w:w="1458" w:type="dxa"/>
            <w:tcMar>
              <w:left w:w="108" w:type="dxa"/>
              <w:right w:w="108" w:type="dxa"/>
            </w:tcMar>
            <w:vAlign w:val="center"/>
          </w:tcPr>
          <w:p w14:paraId="2A85425D" w14:textId="77777777" w:rsidR="00E63726" w:rsidRDefault="00E63726" w:rsidP="00555A56">
            <w:pPr>
              <w:ind w:left="180"/>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Selection of sources of evidence†</w:t>
            </w:r>
          </w:p>
        </w:tc>
        <w:tc>
          <w:tcPr>
            <w:tcW w:w="465" w:type="dxa"/>
            <w:tcMar>
              <w:left w:w="108" w:type="dxa"/>
              <w:right w:w="108" w:type="dxa"/>
            </w:tcMar>
            <w:vAlign w:val="center"/>
          </w:tcPr>
          <w:p w14:paraId="554FB875" w14:textId="77777777" w:rsidR="00E63726" w:rsidRDefault="00E63726" w:rsidP="00555A56">
            <w:pPr>
              <w:jc w:val="cente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9</w:t>
            </w:r>
          </w:p>
        </w:tc>
        <w:tc>
          <w:tcPr>
            <w:tcW w:w="5975" w:type="dxa"/>
            <w:tcMar>
              <w:left w:w="108" w:type="dxa"/>
              <w:right w:w="108" w:type="dxa"/>
            </w:tcMar>
            <w:vAlign w:val="center"/>
          </w:tcPr>
          <w:p w14:paraId="6E645610"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State the process for selecting sources of evidence (i.e., screening and eligibility) included in the scoping review.</w:t>
            </w:r>
          </w:p>
        </w:tc>
        <w:tc>
          <w:tcPr>
            <w:tcW w:w="1247" w:type="dxa"/>
            <w:tcMar>
              <w:left w:w="108" w:type="dxa"/>
              <w:right w:w="108" w:type="dxa"/>
            </w:tcMar>
            <w:vAlign w:val="center"/>
          </w:tcPr>
          <w:p w14:paraId="1A46A3CB"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Page 8</w:t>
            </w:r>
          </w:p>
        </w:tc>
      </w:tr>
      <w:tr w:rsidR="00E63726" w14:paraId="16D20C2D" w14:textId="77777777" w:rsidTr="00555A56">
        <w:trPr>
          <w:trHeight w:val="300"/>
        </w:trPr>
        <w:tc>
          <w:tcPr>
            <w:tcW w:w="1458" w:type="dxa"/>
            <w:tcMar>
              <w:left w:w="108" w:type="dxa"/>
              <w:right w:w="108" w:type="dxa"/>
            </w:tcMar>
            <w:vAlign w:val="center"/>
          </w:tcPr>
          <w:p w14:paraId="468B0A58" w14:textId="77777777" w:rsidR="00E63726" w:rsidRDefault="00E63726" w:rsidP="00555A56">
            <w:pPr>
              <w:ind w:left="180"/>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Data charting process‡</w:t>
            </w:r>
          </w:p>
        </w:tc>
        <w:tc>
          <w:tcPr>
            <w:tcW w:w="465" w:type="dxa"/>
            <w:tcMar>
              <w:left w:w="108" w:type="dxa"/>
              <w:right w:w="108" w:type="dxa"/>
            </w:tcMar>
            <w:vAlign w:val="center"/>
          </w:tcPr>
          <w:p w14:paraId="5F189F12" w14:textId="77777777" w:rsidR="00E63726" w:rsidRDefault="00E63726" w:rsidP="00555A56">
            <w:pPr>
              <w:jc w:val="cente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10</w:t>
            </w:r>
          </w:p>
        </w:tc>
        <w:tc>
          <w:tcPr>
            <w:tcW w:w="5975" w:type="dxa"/>
            <w:tcMar>
              <w:left w:w="108" w:type="dxa"/>
              <w:right w:w="108" w:type="dxa"/>
            </w:tcMar>
            <w:vAlign w:val="center"/>
          </w:tcPr>
          <w:p w14:paraId="4E9B4BDB"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Describe the methods of charting data from the included sources of evidence (e.g., calibrated forms or forms that have been tested by the team before their use, and whether data charting was done independently or in duplicate) and any processes for obtaining and confirming data from investigators.</w:t>
            </w:r>
          </w:p>
        </w:tc>
        <w:tc>
          <w:tcPr>
            <w:tcW w:w="1247" w:type="dxa"/>
            <w:tcMar>
              <w:left w:w="108" w:type="dxa"/>
              <w:right w:w="108" w:type="dxa"/>
            </w:tcMar>
            <w:vAlign w:val="center"/>
          </w:tcPr>
          <w:p w14:paraId="36B9F3FD"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Page 8 and 9</w:t>
            </w:r>
          </w:p>
        </w:tc>
      </w:tr>
      <w:tr w:rsidR="00E63726" w14:paraId="2BCBE021" w14:textId="77777777" w:rsidTr="00555A56">
        <w:trPr>
          <w:trHeight w:val="255"/>
        </w:trPr>
        <w:tc>
          <w:tcPr>
            <w:tcW w:w="1458" w:type="dxa"/>
            <w:tcMar>
              <w:left w:w="108" w:type="dxa"/>
              <w:right w:w="108" w:type="dxa"/>
            </w:tcMar>
            <w:vAlign w:val="center"/>
          </w:tcPr>
          <w:p w14:paraId="1329D6F8" w14:textId="77777777" w:rsidR="00E63726" w:rsidRDefault="00E63726" w:rsidP="00555A56">
            <w:pPr>
              <w:ind w:left="180"/>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Data items</w:t>
            </w:r>
          </w:p>
        </w:tc>
        <w:tc>
          <w:tcPr>
            <w:tcW w:w="465" w:type="dxa"/>
            <w:tcMar>
              <w:left w:w="108" w:type="dxa"/>
              <w:right w:w="108" w:type="dxa"/>
            </w:tcMar>
            <w:vAlign w:val="center"/>
          </w:tcPr>
          <w:p w14:paraId="4728998C" w14:textId="77777777" w:rsidR="00E63726" w:rsidRDefault="00E63726" w:rsidP="00555A56">
            <w:pPr>
              <w:jc w:val="cente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11</w:t>
            </w:r>
          </w:p>
        </w:tc>
        <w:tc>
          <w:tcPr>
            <w:tcW w:w="5975" w:type="dxa"/>
            <w:tcMar>
              <w:left w:w="108" w:type="dxa"/>
              <w:right w:w="108" w:type="dxa"/>
            </w:tcMar>
            <w:vAlign w:val="center"/>
          </w:tcPr>
          <w:p w14:paraId="7B976533"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List and define all variables for which data were sought and any assumptions and simplifications made.</w:t>
            </w:r>
          </w:p>
        </w:tc>
        <w:tc>
          <w:tcPr>
            <w:tcW w:w="1247" w:type="dxa"/>
            <w:tcMar>
              <w:left w:w="108" w:type="dxa"/>
              <w:right w:w="108" w:type="dxa"/>
            </w:tcMar>
            <w:vAlign w:val="center"/>
          </w:tcPr>
          <w:p w14:paraId="7A125175"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Supplemental file 3</w:t>
            </w:r>
          </w:p>
        </w:tc>
      </w:tr>
      <w:tr w:rsidR="00E63726" w14:paraId="3B3AEBE3" w14:textId="77777777" w:rsidTr="00555A56">
        <w:trPr>
          <w:trHeight w:val="300"/>
        </w:trPr>
        <w:tc>
          <w:tcPr>
            <w:tcW w:w="1458" w:type="dxa"/>
            <w:tcMar>
              <w:left w:w="108" w:type="dxa"/>
              <w:right w:w="108" w:type="dxa"/>
            </w:tcMar>
            <w:vAlign w:val="center"/>
          </w:tcPr>
          <w:p w14:paraId="476217BF" w14:textId="77777777" w:rsidR="00E63726" w:rsidRDefault="00E63726" w:rsidP="00555A56">
            <w:pPr>
              <w:ind w:left="180"/>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Critical appraisal of individual sources of evidence§</w:t>
            </w:r>
          </w:p>
        </w:tc>
        <w:tc>
          <w:tcPr>
            <w:tcW w:w="465" w:type="dxa"/>
            <w:tcMar>
              <w:left w:w="108" w:type="dxa"/>
              <w:right w:w="108" w:type="dxa"/>
            </w:tcMar>
            <w:vAlign w:val="center"/>
          </w:tcPr>
          <w:p w14:paraId="1935D859" w14:textId="77777777" w:rsidR="00E63726" w:rsidRDefault="00E63726" w:rsidP="00555A56">
            <w:pPr>
              <w:jc w:val="cente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12</w:t>
            </w:r>
          </w:p>
        </w:tc>
        <w:tc>
          <w:tcPr>
            <w:tcW w:w="5975" w:type="dxa"/>
            <w:tcMar>
              <w:left w:w="108" w:type="dxa"/>
              <w:right w:w="108" w:type="dxa"/>
            </w:tcMar>
            <w:vAlign w:val="center"/>
          </w:tcPr>
          <w:p w14:paraId="41B99FA1"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If done, provide a rationale for conducting a critical appraisal of included sources of evidence; describe the methods used and how this information was used in any data synthesis (if appropriate).</w:t>
            </w:r>
          </w:p>
        </w:tc>
        <w:tc>
          <w:tcPr>
            <w:tcW w:w="1247" w:type="dxa"/>
            <w:tcMar>
              <w:left w:w="108" w:type="dxa"/>
              <w:right w:w="108" w:type="dxa"/>
            </w:tcMar>
            <w:vAlign w:val="center"/>
          </w:tcPr>
          <w:p w14:paraId="092DC067"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N/A</w:t>
            </w:r>
          </w:p>
        </w:tc>
      </w:tr>
      <w:tr w:rsidR="00E63726" w14:paraId="3E158BC8" w14:textId="77777777" w:rsidTr="00555A56">
        <w:trPr>
          <w:trHeight w:val="300"/>
        </w:trPr>
        <w:tc>
          <w:tcPr>
            <w:tcW w:w="1458" w:type="dxa"/>
            <w:tcMar>
              <w:left w:w="108" w:type="dxa"/>
              <w:right w:w="108" w:type="dxa"/>
            </w:tcMar>
            <w:vAlign w:val="center"/>
          </w:tcPr>
          <w:p w14:paraId="5E782D58" w14:textId="77777777" w:rsidR="00E63726" w:rsidRDefault="00E63726" w:rsidP="00555A56">
            <w:pPr>
              <w:ind w:left="180"/>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Synthesis of results</w:t>
            </w:r>
          </w:p>
        </w:tc>
        <w:tc>
          <w:tcPr>
            <w:tcW w:w="465" w:type="dxa"/>
            <w:tcMar>
              <w:left w:w="108" w:type="dxa"/>
              <w:right w:w="108" w:type="dxa"/>
            </w:tcMar>
            <w:vAlign w:val="center"/>
          </w:tcPr>
          <w:p w14:paraId="4370668E" w14:textId="77777777" w:rsidR="00E63726" w:rsidRDefault="00E63726" w:rsidP="00555A56">
            <w:pPr>
              <w:jc w:val="cente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13</w:t>
            </w:r>
          </w:p>
        </w:tc>
        <w:tc>
          <w:tcPr>
            <w:tcW w:w="5975" w:type="dxa"/>
            <w:tcMar>
              <w:left w:w="108" w:type="dxa"/>
              <w:right w:w="108" w:type="dxa"/>
            </w:tcMar>
            <w:vAlign w:val="center"/>
          </w:tcPr>
          <w:p w14:paraId="4A1B2A68"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Describe the methods of handling and summarizing the data that were charted.</w:t>
            </w:r>
          </w:p>
        </w:tc>
        <w:tc>
          <w:tcPr>
            <w:tcW w:w="1247" w:type="dxa"/>
            <w:tcMar>
              <w:left w:w="108" w:type="dxa"/>
              <w:right w:w="108" w:type="dxa"/>
            </w:tcMar>
            <w:vAlign w:val="center"/>
          </w:tcPr>
          <w:p w14:paraId="0F36A2F0"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Page 9</w:t>
            </w:r>
          </w:p>
        </w:tc>
      </w:tr>
      <w:tr w:rsidR="00E63726" w14:paraId="30A283F7" w14:textId="77777777" w:rsidTr="00555A56">
        <w:trPr>
          <w:trHeight w:val="300"/>
        </w:trPr>
        <w:tc>
          <w:tcPr>
            <w:tcW w:w="9145" w:type="dxa"/>
            <w:gridSpan w:val="4"/>
            <w:tcMar>
              <w:left w:w="108" w:type="dxa"/>
              <w:right w:w="108" w:type="dxa"/>
            </w:tcMar>
            <w:vAlign w:val="center"/>
          </w:tcPr>
          <w:p w14:paraId="5BA05324" w14:textId="77777777" w:rsidR="00E63726" w:rsidRDefault="00E63726" w:rsidP="00555A56">
            <w:pPr>
              <w:rPr>
                <w:rFonts w:ascii="Times New Roman" w:eastAsia="Times New Roman" w:hAnsi="Times New Roman" w:cs="Times New Roman"/>
                <w:b/>
                <w:bCs/>
                <w:color w:val="000000" w:themeColor="text1"/>
                <w:sz w:val="20"/>
                <w:szCs w:val="20"/>
                <w:lang w:val="en-US"/>
              </w:rPr>
            </w:pPr>
            <w:r w:rsidRPr="19D72ED3">
              <w:rPr>
                <w:rFonts w:ascii="Times New Roman" w:eastAsia="Times New Roman" w:hAnsi="Times New Roman" w:cs="Times New Roman"/>
                <w:b/>
                <w:bCs/>
                <w:color w:val="000000" w:themeColor="text1"/>
                <w:sz w:val="20"/>
                <w:szCs w:val="20"/>
                <w:lang w:val="en-US"/>
              </w:rPr>
              <w:t>Results</w:t>
            </w:r>
          </w:p>
        </w:tc>
      </w:tr>
      <w:tr w:rsidR="00E63726" w14:paraId="7F75B10B" w14:textId="77777777" w:rsidTr="00555A56">
        <w:trPr>
          <w:trHeight w:val="300"/>
        </w:trPr>
        <w:tc>
          <w:tcPr>
            <w:tcW w:w="1458" w:type="dxa"/>
            <w:tcMar>
              <w:left w:w="108" w:type="dxa"/>
              <w:right w:w="108" w:type="dxa"/>
            </w:tcMar>
            <w:vAlign w:val="center"/>
          </w:tcPr>
          <w:p w14:paraId="65AD662E" w14:textId="77777777" w:rsidR="00E63726" w:rsidRDefault="00E63726" w:rsidP="00555A56">
            <w:pPr>
              <w:ind w:left="180"/>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Selection of sources of evidence</w:t>
            </w:r>
          </w:p>
        </w:tc>
        <w:tc>
          <w:tcPr>
            <w:tcW w:w="465" w:type="dxa"/>
            <w:tcMar>
              <w:left w:w="108" w:type="dxa"/>
              <w:right w:w="108" w:type="dxa"/>
            </w:tcMar>
            <w:vAlign w:val="center"/>
          </w:tcPr>
          <w:p w14:paraId="4835EF8B" w14:textId="77777777" w:rsidR="00E63726" w:rsidRDefault="00E63726" w:rsidP="00555A56">
            <w:pPr>
              <w:jc w:val="cente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14</w:t>
            </w:r>
          </w:p>
        </w:tc>
        <w:tc>
          <w:tcPr>
            <w:tcW w:w="5975" w:type="dxa"/>
            <w:tcMar>
              <w:left w:w="108" w:type="dxa"/>
              <w:right w:w="108" w:type="dxa"/>
            </w:tcMar>
            <w:vAlign w:val="center"/>
          </w:tcPr>
          <w:p w14:paraId="58337280"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Give numbers of sources of evidence screened, assessed for eligibility, and included in the review, with reasons for exclusions at each stage, ideally using a flow diagram.</w:t>
            </w:r>
          </w:p>
        </w:tc>
        <w:tc>
          <w:tcPr>
            <w:tcW w:w="1247" w:type="dxa"/>
            <w:tcMar>
              <w:left w:w="108" w:type="dxa"/>
              <w:right w:w="108" w:type="dxa"/>
            </w:tcMar>
            <w:vAlign w:val="center"/>
          </w:tcPr>
          <w:p w14:paraId="48BC6B85"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Page 10</w:t>
            </w:r>
          </w:p>
        </w:tc>
      </w:tr>
      <w:tr w:rsidR="00E63726" w14:paraId="648C3517" w14:textId="77777777" w:rsidTr="00555A56">
        <w:trPr>
          <w:trHeight w:val="300"/>
        </w:trPr>
        <w:tc>
          <w:tcPr>
            <w:tcW w:w="1458" w:type="dxa"/>
            <w:tcMar>
              <w:left w:w="108" w:type="dxa"/>
              <w:right w:w="108" w:type="dxa"/>
            </w:tcMar>
            <w:vAlign w:val="center"/>
          </w:tcPr>
          <w:p w14:paraId="6115EA21" w14:textId="77777777" w:rsidR="00E63726" w:rsidRDefault="00E63726" w:rsidP="00555A56">
            <w:pPr>
              <w:ind w:left="180"/>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Characteristics of sources of evidence</w:t>
            </w:r>
          </w:p>
        </w:tc>
        <w:tc>
          <w:tcPr>
            <w:tcW w:w="465" w:type="dxa"/>
            <w:tcMar>
              <w:left w:w="108" w:type="dxa"/>
              <w:right w:w="108" w:type="dxa"/>
            </w:tcMar>
            <w:vAlign w:val="center"/>
          </w:tcPr>
          <w:p w14:paraId="20C3ED00" w14:textId="77777777" w:rsidR="00E63726" w:rsidRDefault="00E63726" w:rsidP="00555A56">
            <w:pPr>
              <w:jc w:val="cente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15</w:t>
            </w:r>
          </w:p>
        </w:tc>
        <w:tc>
          <w:tcPr>
            <w:tcW w:w="5975" w:type="dxa"/>
            <w:tcMar>
              <w:left w:w="108" w:type="dxa"/>
              <w:right w:w="108" w:type="dxa"/>
            </w:tcMar>
            <w:vAlign w:val="center"/>
          </w:tcPr>
          <w:p w14:paraId="1767D9E4"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For each source of evidence, present characteristics for which data were charted and provide the citations.</w:t>
            </w:r>
          </w:p>
        </w:tc>
        <w:tc>
          <w:tcPr>
            <w:tcW w:w="1247" w:type="dxa"/>
            <w:tcMar>
              <w:left w:w="108" w:type="dxa"/>
              <w:right w:w="108" w:type="dxa"/>
            </w:tcMar>
            <w:vAlign w:val="center"/>
          </w:tcPr>
          <w:p w14:paraId="061EBED9"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Page 10 and 11; Table 1</w:t>
            </w:r>
          </w:p>
        </w:tc>
      </w:tr>
      <w:tr w:rsidR="00E63726" w14:paraId="6D10566E" w14:textId="77777777" w:rsidTr="00555A56">
        <w:trPr>
          <w:trHeight w:val="300"/>
        </w:trPr>
        <w:tc>
          <w:tcPr>
            <w:tcW w:w="1458" w:type="dxa"/>
            <w:tcMar>
              <w:left w:w="108" w:type="dxa"/>
              <w:right w:w="108" w:type="dxa"/>
            </w:tcMar>
            <w:vAlign w:val="center"/>
          </w:tcPr>
          <w:p w14:paraId="71DD9E47" w14:textId="77777777" w:rsidR="00E63726" w:rsidRDefault="00E63726" w:rsidP="00555A56">
            <w:pPr>
              <w:ind w:left="180"/>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lastRenderedPageBreak/>
              <w:t>Critical appraisal within sources of evidence</w:t>
            </w:r>
          </w:p>
        </w:tc>
        <w:tc>
          <w:tcPr>
            <w:tcW w:w="465" w:type="dxa"/>
            <w:tcMar>
              <w:left w:w="108" w:type="dxa"/>
              <w:right w:w="108" w:type="dxa"/>
            </w:tcMar>
            <w:vAlign w:val="center"/>
          </w:tcPr>
          <w:p w14:paraId="5E0DEB59" w14:textId="77777777" w:rsidR="00E63726" w:rsidRDefault="00E63726" w:rsidP="00555A56">
            <w:pPr>
              <w:jc w:val="cente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16</w:t>
            </w:r>
          </w:p>
        </w:tc>
        <w:tc>
          <w:tcPr>
            <w:tcW w:w="5975" w:type="dxa"/>
            <w:tcMar>
              <w:left w:w="108" w:type="dxa"/>
              <w:right w:w="108" w:type="dxa"/>
            </w:tcMar>
            <w:vAlign w:val="center"/>
          </w:tcPr>
          <w:p w14:paraId="570AA25A"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If done, present data on critical appraisal of included sources of evidence (see item 12).</w:t>
            </w:r>
          </w:p>
        </w:tc>
        <w:tc>
          <w:tcPr>
            <w:tcW w:w="1247" w:type="dxa"/>
            <w:tcMar>
              <w:left w:w="108" w:type="dxa"/>
              <w:right w:w="108" w:type="dxa"/>
            </w:tcMar>
            <w:vAlign w:val="center"/>
          </w:tcPr>
          <w:p w14:paraId="4E033B8C"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N/A</w:t>
            </w:r>
          </w:p>
        </w:tc>
      </w:tr>
      <w:tr w:rsidR="00E63726" w14:paraId="71A96C54" w14:textId="77777777" w:rsidTr="00555A56">
        <w:trPr>
          <w:trHeight w:val="300"/>
        </w:trPr>
        <w:tc>
          <w:tcPr>
            <w:tcW w:w="1458" w:type="dxa"/>
            <w:tcMar>
              <w:left w:w="108" w:type="dxa"/>
              <w:right w:w="108" w:type="dxa"/>
            </w:tcMar>
            <w:vAlign w:val="center"/>
          </w:tcPr>
          <w:p w14:paraId="26D09B5F" w14:textId="77777777" w:rsidR="00E63726" w:rsidRDefault="00E63726" w:rsidP="00555A56">
            <w:pPr>
              <w:ind w:left="180"/>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Results of individual sources of evidence</w:t>
            </w:r>
          </w:p>
        </w:tc>
        <w:tc>
          <w:tcPr>
            <w:tcW w:w="465" w:type="dxa"/>
            <w:tcMar>
              <w:left w:w="108" w:type="dxa"/>
              <w:right w:w="108" w:type="dxa"/>
            </w:tcMar>
            <w:vAlign w:val="center"/>
          </w:tcPr>
          <w:p w14:paraId="2BE54416" w14:textId="77777777" w:rsidR="00E63726" w:rsidRDefault="00E63726" w:rsidP="00555A56">
            <w:pPr>
              <w:jc w:val="cente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17</w:t>
            </w:r>
          </w:p>
        </w:tc>
        <w:tc>
          <w:tcPr>
            <w:tcW w:w="5975" w:type="dxa"/>
            <w:tcMar>
              <w:left w:w="108" w:type="dxa"/>
              <w:right w:w="108" w:type="dxa"/>
            </w:tcMar>
            <w:vAlign w:val="center"/>
          </w:tcPr>
          <w:p w14:paraId="1571B8CA"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For each included source of evidence, present the relevant data that were charted that relate to the review questions and objectives.</w:t>
            </w:r>
          </w:p>
        </w:tc>
        <w:tc>
          <w:tcPr>
            <w:tcW w:w="1247" w:type="dxa"/>
            <w:tcMar>
              <w:left w:w="108" w:type="dxa"/>
              <w:right w:w="108" w:type="dxa"/>
            </w:tcMar>
            <w:vAlign w:val="center"/>
          </w:tcPr>
          <w:p w14:paraId="46CAEB15"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Supplementary file 4 and 5</w:t>
            </w:r>
          </w:p>
        </w:tc>
      </w:tr>
      <w:tr w:rsidR="00E63726" w14:paraId="7B4B33FD" w14:textId="77777777" w:rsidTr="00555A56">
        <w:trPr>
          <w:trHeight w:val="300"/>
        </w:trPr>
        <w:tc>
          <w:tcPr>
            <w:tcW w:w="1458" w:type="dxa"/>
            <w:tcMar>
              <w:left w:w="108" w:type="dxa"/>
              <w:right w:w="108" w:type="dxa"/>
            </w:tcMar>
            <w:vAlign w:val="center"/>
          </w:tcPr>
          <w:p w14:paraId="0BADBB58" w14:textId="77777777" w:rsidR="00E63726" w:rsidRDefault="00E63726" w:rsidP="00555A56">
            <w:pPr>
              <w:ind w:left="180"/>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Synthesis of results</w:t>
            </w:r>
          </w:p>
        </w:tc>
        <w:tc>
          <w:tcPr>
            <w:tcW w:w="465" w:type="dxa"/>
            <w:tcMar>
              <w:left w:w="108" w:type="dxa"/>
              <w:right w:w="108" w:type="dxa"/>
            </w:tcMar>
            <w:vAlign w:val="center"/>
          </w:tcPr>
          <w:p w14:paraId="22F8D6F1" w14:textId="77777777" w:rsidR="00E63726" w:rsidRDefault="00E63726" w:rsidP="00555A56">
            <w:pPr>
              <w:jc w:val="cente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18</w:t>
            </w:r>
          </w:p>
        </w:tc>
        <w:tc>
          <w:tcPr>
            <w:tcW w:w="5975" w:type="dxa"/>
            <w:tcMar>
              <w:left w:w="108" w:type="dxa"/>
              <w:right w:w="108" w:type="dxa"/>
            </w:tcMar>
            <w:vAlign w:val="center"/>
          </w:tcPr>
          <w:p w14:paraId="3F5AA954"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Summarize and/or present the charting results as they relate to the review questions and objectives.</w:t>
            </w:r>
          </w:p>
        </w:tc>
        <w:tc>
          <w:tcPr>
            <w:tcW w:w="1247" w:type="dxa"/>
            <w:tcMar>
              <w:left w:w="108" w:type="dxa"/>
              <w:right w:w="108" w:type="dxa"/>
            </w:tcMar>
            <w:vAlign w:val="center"/>
          </w:tcPr>
          <w:p w14:paraId="141EC3D3"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Page 20</w:t>
            </w:r>
          </w:p>
        </w:tc>
      </w:tr>
      <w:tr w:rsidR="00E63726" w14:paraId="6BB62F01" w14:textId="77777777" w:rsidTr="00555A56">
        <w:trPr>
          <w:trHeight w:val="300"/>
        </w:trPr>
        <w:tc>
          <w:tcPr>
            <w:tcW w:w="9145" w:type="dxa"/>
            <w:gridSpan w:val="4"/>
            <w:tcMar>
              <w:left w:w="108" w:type="dxa"/>
              <w:right w:w="108" w:type="dxa"/>
            </w:tcMar>
            <w:vAlign w:val="center"/>
          </w:tcPr>
          <w:p w14:paraId="0F1675E9" w14:textId="77777777" w:rsidR="00E63726" w:rsidRDefault="00E63726" w:rsidP="00555A56">
            <w:pPr>
              <w:rPr>
                <w:rFonts w:ascii="Times New Roman" w:eastAsia="Times New Roman" w:hAnsi="Times New Roman" w:cs="Times New Roman"/>
                <w:b/>
                <w:bCs/>
                <w:color w:val="000000" w:themeColor="text1"/>
                <w:sz w:val="20"/>
                <w:szCs w:val="20"/>
                <w:lang w:val="en-US"/>
              </w:rPr>
            </w:pPr>
            <w:r w:rsidRPr="19D72ED3">
              <w:rPr>
                <w:rFonts w:ascii="Times New Roman" w:eastAsia="Times New Roman" w:hAnsi="Times New Roman" w:cs="Times New Roman"/>
                <w:b/>
                <w:bCs/>
                <w:color w:val="000000" w:themeColor="text1"/>
                <w:sz w:val="20"/>
                <w:szCs w:val="20"/>
                <w:lang w:val="en-US"/>
              </w:rPr>
              <w:t>Discussion</w:t>
            </w:r>
          </w:p>
        </w:tc>
      </w:tr>
      <w:tr w:rsidR="00E63726" w14:paraId="552BA847" w14:textId="77777777" w:rsidTr="00555A56">
        <w:trPr>
          <w:trHeight w:val="300"/>
        </w:trPr>
        <w:tc>
          <w:tcPr>
            <w:tcW w:w="1458" w:type="dxa"/>
            <w:tcMar>
              <w:left w:w="108" w:type="dxa"/>
              <w:right w:w="108" w:type="dxa"/>
            </w:tcMar>
            <w:vAlign w:val="center"/>
          </w:tcPr>
          <w:p w14:paraId="47361E84" w14:textId="77777777" w:rsidR="00E63726" w:rsidRDefault="00E63726" w:rsidP="00555A56">
            <w:pPr>
              <w:ind w:left="180"/>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Summary of evidence</w:t>
            </w:r>
          </w:p>
        </w:tc>
        <w:tc>
          <w:tcPr>
            <w:tcW w:w="465" w:type="dxa"/>
            <w:tcMar>
              <w:left w:w="108" w:type="dxa"/>
              <w:right w:w="108" w:type="dxa"/>
            </w:tcMar>
            <w:vAlign w:val="center"/>
          </w:tcPr>
          <w:p w14:paraId="023D9030" w14:textId="77777777" w:rsidR="00E63726" w:rsidRDefault="00E63726" w:rsidP="00555A56">
            <w:pPr>
              <w:jc w:val="cente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19</w:t>
            </w:r>
          </w:p>
        </w:tc>
        <w:tc>
          <w:tcPr>
            <w:tcW w:w="5975" w:type="dxa"/>
            <w:tcMar>
              <w:left w:w="108" w:type="dxa"/>
              <w:right w:w="108" w:type="dxa"/>
            </w:tcMar>
            <w:vAlign w:val="center"/>
          </w:tcPr>
          <w:p w14:paraId="0ED139F0"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Summarize the main results (including an overview of concepts, themes, and types of evidence available), link to the review questions and objectives, and consider the relevance to key groups.</w:t>
            </w:r>
          </w:p>
        </w:tc>
        <w:tc>
          <w:tcPr>
            <w:tcW w:w="1247" w:type="dxa"/>
            <w:tcMar>
              <w:left w:w="108" w:type="dxa"/>
              <w:right w:w="108" w:type="dxa"/>
            </w:tcMar>
            <w:vAlign w:val="center"/>
          </w:tcPr>
          <w:p w14:paraId="0BA85E05"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Page 21; start of Discussion</w:t>
            </w:r>
          </w:p>
        </w:tc>
      </w:tr>
      <w:tr w:rsidR="00E63726" w14:paraId="072A38BB" w14:textId="77777777" w:rsidTr="00555A56">
        <w:trPr>
          <w:trHeight w:val="300"/>
        </w:trPr>
        <w:tc>
          <w:tcPr>
            <w:tcW w:w="1458" w:type="dxa"/>
            <w:tcMar>
              <w:left w:w="108" w:type="dxa"/>
              <w:right w:w="108" w:type="dxa"/>
            </w:tcMar>
            <w:vAlign w:val="center"/>
          </w:tcPr>
          <w:p w14:paraId="06E38A0E" w14:textId="77777777" w:rsidR="00E63726" w:rsidRDefault="00E63726" w:rsidP="00555A56">
            <w:pPr>
              <w:ind w:left="180"/>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Limitations</w:t>
            </w:r>
          </w:p>
        </w:tc>
        <w:tc>
          <w:tcPr>
            <w:tcW w:w="465" w:type="dxa"/>
            <w:tcMar>
              <w:left w:w="108" w:type="dxa"/>
              <w:right w:w="108" w:type="dxa"/>
            </w:tcMar>
            <w:vAlign w:val="center"/>
          </w:tcPr>
          <w:p w14:paraId="623401E4" w14:textId="77777777" w:rsidR="00E63726" w:rsidRDefault="00E63726" w:rsidP="00555A56">
            <w:pPr>
              <w:jc w:val="cente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20</w:t>
            </w:r>
          </w:p>
        </w:tc>
        <w:tc>
          <w:tcPr>
            <w:tcW w:w="5975" w:type="dxa"/>
            <w:tcMar>
              <w:left w:w="108" w:type="dxa"/>
              <w:right w:w="108" w:type="dxa"/>
            </w:tcMar>
            <w:vAlign w:val="center"/>
          </w:tcPr>
          <w:p w14:paraId="00397A9F"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Discuss the limitations of the scoping review process.</w:t>
            </w:r>
          </w:p>
        </w:tc>
        <w:tc>
          <w:tcPr>
            <w:tcW w:w="1247" w:type="dxa"/>
            <w:tcMar>
              <w:left w:w="108" w:type="dxa"/>
              <w:right w:w="108" w:type="dxa"/>
            </w:tcMar>
            <w:vAlign w:val="center"/>
          </w:tcPr>
          <w:p w14:paraId="3821E3BA"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Page 23; separate heading</w:t>
            </w:r>
          </w:p>
        </w:tc>
      </w:tr>
      <w:tr w:rsidR="00E63726" w14:paraId="684E6BAC" w14:textId="77777777" w:rsidTr="00555A56">
        <w:trPr>
          <w:trHeight w:val="300"/>
        </w:trPr>
        <w:tc>
          <w:tcPr>
            <w:tcW w:w="1458" w:type="dxa"/>
            <w:tcMar>
              <w:left w:w="108" w:type="dxa"/>
              <w:right w:w="108" w:type="dxa"/>
            </w:tcMar>
            <w:vAlign w:val="center"/>
          </w:tcPr>
          <w:p w14:paraId="79CF1DD8" w14:textId="77777777" w:rsidR="00E63726" w:rsidRDefault="00E63726" w:rsidP="00555A56">
            <w:pPr>
              <w:ind w:left="180"/>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Conclusions</w:t>
            </w:r>
          </w:p>
        </w:tc>
        <w:tc>
          <w:tcPr>
            <w:tcW w:w="465" w:type="dxa"/>
            <w:tcMar>
              <w:left w:w="108" w:type="dxa"/>
              <w:right w:w="108" w:type="dxa"/>
            </w:tcMar>
            <w:vAlign w:val="center"/>
          </w:tcPr>
          <w:p w14:paraId="19B8E55A" w14:textId="77777777" w:rsidR="00E63726" w:rsidRDefault="00E63726" w:rsidP="00555A56">
            <w:pPr>
              <w:jc w:val="cente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21</w:t>
            </w:r>
          </w:p>
        </w:tc>
        <w:tc>
          <w:tcPr>
            <w:tcW w:w="5975" w:type="dxa"/>
            <w:tcMar>
              <w:left w:w="108" w:type="dxa"/>
              <w:right w:w="108" w:type="dxa"/>
            </w:tcMar>
            <w:vAlign w:val="center"/>
          </w:tcPr>
          <w:p w14:paraId="6543672A"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Provide a general interpretation of the results with respect to the review questions and objectives, as well as potential implications and/or next steps.</w:t>
            </w:r>
          </w:p>
        </w:tc>
        <w:tc>
          <w:tcPr>
            <w:tcW w:w="1247" w:type="dxa"/>
            <w:tcMar>
              <w:left w:w="108" w:type="dxa"/>
              <w:right w:w="108" w:type="dxa"/>
            </w:tcMar>
            <w:vAlign w:val="center"/>
          </w:tcPr>
          <w:p w14:paraId="65D99C4F"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Page 24</w:t>
            </w:r>
          </w:p>
        </w:tc>
      </w:tr>
      <w:tr w:rsidR="00E63726" w14:paraId="5632A523" w14:textId="77777777" w:rsidTr="00555A56">
        <w:trPr>
          <w:trHeight w:val="300"/>
        </w:trPr>
        <w:tc>
          <w:tcPr>
            <w:tcW w:w="9145" w:type="dxa"/>
            <w:gridSpan w:val="4"/>
            <w:tcMar>
              <w:left w:w="108" w:type="dxa"/>
              <w:right w:w="108" w:type="dxa"/>
            </w:tcMar>
            <w:vAlign w:val="center"/>
          </w:tcPr>
          <w:p w14:paraId="238591AF" w14:textId="77777777" w:rsidR="00E63726" w:rsidRDefault="00E63726" w:rsidP="00555A56">
            <w:pPr>
              <w:rPr>
                <w:rFonts w:ascii="Times New Roman" w:eastAsia="Times New Roman" w:hAnsi="Times New Roman" w:cs="Times New Roman"/>
                <w:b/>
                <w:bCs/>
                <w:color w:val="000000" w:themeColor="text1"/>
                <w:sz w:val="20"/>
                <w:szCs w:val="20"/>
                <w:lang w:val="en-US"/>
              </w:rPr>
            </w:pPr>
            <w:r w:rsidRPr="19D72ED3">
              <w:rPr>
                <w:rFonts w:ascii="Times New Roman" w:eastAsia="Times New Roman" w:hAnsi="Times New Roman" w:cs="Times New Roman"/>
                <w:b/>
                <w:bCs/>
                <w:color w:val="000000" w:themeColor="text1"/>
                <w:sz w:val="20"/>
                <w:szCs w:val="20"/>
                <w:lang w:val="en-US"/>
              </w:rPr>
              <w:t>Funding</w:t>
            </w:r>
          </w:p>
        </w:tc>
      </w:tr>
      <w:tr w:rsidR="00E63726" w14:paraId="1E913716" w14:textId="77777777" w:rsidTr="00555A56">
        <w:trPr>
          <w:trHeight w:val="300"/>
        </w:trPr>
        <w:tc>
          <w:tcPr>
            <w:tcW w:w="1458" w:type="dxa"/>
            <w:tcMar>
              <w:left w:w="108" w:type="dxa"/>
              <w:right w:w="108" w:type="dxa"/>
            </w:tcMar>
            <w:vAlign w:val="center"/>
          </w:tcPr>
          <w:p w14:paraId="6FF62340" w14:textId="77777777" w:rsidR="00E63726" w:rsidRDefault="00E63726" w:rsidP="00555A56">
            <w:pPr>
              <w:ind w:left="180"/>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Funding</w:t>
            </w:r>
          </w:p>
        </w:tc>
        <w:tc>
          <w:tcPr>
            <w:tcW w:w="465" w:type="dxa"/>
            <w:tcMar>
              <w:left w:w="108" w:type="dxa"/>
              <w:right w:w="108" w:type="dxa"/>
            </w:tcMar>
            <w:vAlign w:val="center"/>
          </w:tcPr>
          <w:p w14:paraId="50B351E6" w14:textId="77777777" w:rsidR="00E63726" w:rsidRDefault="00E63726" w:rsidP="00555A56">
            <w:pPr>
              <w:jc w:val="cente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22</w:t>
            </w:r>
          </w:p>
        </w:tc>
        <w:tc>
          <w:tcPr>
            <w:tcW w:w="5975" w:type="dxa"/>
            <w:tcMar>
              <w:left w:w="108" w:type="dxa"/>
              <w:right w:w="108" w:type="dxa"/>
            </w:tcMar>
            <w:vAlign w:val="center"/>
          </w:tcPr>
          <w:p w14:paraId="0A59C3F1"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Describe sources of funding for the included sources of evidence, as well as sources of funding for the scoping review. Describe the role of the funders of the scoping review.</w:t>
            </w:r>
          </w:p>
        </w:tc>
        <w:tc>
          <w:tcPr>
            <w:tcW w:w="1247" w:type="dxa"/>
            <w:tcMar>
              <w:left w:w="108" w:type="dxa"/>
              <w:right w:w="108" w:type="dxa"/>
            </w:tcMar>
            <w:vAlign w:val="center"/>
          </w:tcPr>
          <w:p w14:paraId="30BEB0CB" w14:textId="77777777" w:rsidR="00E63726" w:rsidRDefault="00E63726" w:rsidP="00555A56">
            <w:pPr>
              <w:rPr>
                <w:rFonts w:ascii="Times New Roman" w:eastAsia="Times New Roman" w:hAnsi="Times New Roman" w:cs="Times New Roman"/>
                <w:color w:val="000000" w:themeColor="text1"/>
                <w:sz w:val="20"/>
                <w:szCs w:val="20"/>
                <w:lang w:val="en-US"/>
              </w:rPr>
            </w:pPr>
            <w:r w:rsidRPr="19D72ED3">
              <w:rPr>
                <w:rFonts w:ascii="Times New Roman" w:eastAsia="Times New Roman" w:hAnsi="Times New Roman" w:cs="Times New Roman"/>
                <w:color w:val="000000" w:themeColor="text1"/>
                <w:sz w:val="20"/>
                <w:szCs w:val="20"/>
                <w:lang w:val="en-US"/>
              </w:rPr>
              <w:t>Page 25</w:t>
            </w:r>
          </w:p>
        </w:tc>
      </w:tr>
    </w:tbl>
    <w:p w14:paraId="43FB0A94" w14:textId="77777777" w:rsidR="00E63726" w:rsidRDefault="00E63726" w:rsidP="00E63726">
      <w:pPr>
        <w:spacing w:after="0"/>
        <w:rPr>
          <w:rFonts w:ascii="Times New Roman" w:eastAsia="Times New Roman" w:hAnsi="Times New Roman" w:cs="Times New Roman"/>
          <w:sz w:val="18"/>
          <w:szCs w:val="18"/>
          <w:lang w:val="en-US"/>
        </w:rPr>
      </w:pPr>
      <w:r w:rsidRPr="19D72ED3">
        <w:rPr>
          <w:rFonts w:ascii="Times New Roman" w:eastAsia="Times New Roman" w:hAnsi="Times New Roman" w:cs="Times New Roman"/>
          <w:sz w:val="18"/>
          <w:szCs w:val="18"/>
          <w:lang w:val="en-US"/>
        </w:rPr>
        <w:t>JBI = Joanna Briggs Institute; PRISMA-ScR = Preferred Reporting Items for Systematic reviews and Meta-Analyses extension for Scoping Reviews.</w:t>
      </w:r>
    </w:p>
    <w:p w14:paraId="10D1A377" w14:textId="77777777" w:rsidR="00E63726" w:rsidRDefault="00E63726" w:rsidP="00E63726">
      <w:pPr>
        <w:spacing w:after="0"/>
        <w:rPr>
          <w:rFonts w:ascii="Times New Roman" w:eastAsia="Times New Roman" w:hAnsi="Times New Roman" w:cs="Times New Roman"/>
          <w:sz w:val="18"/>
          <w:szCs w:val="18"/>
          <w:lang w:val="en-US"/>
        </w:rPr>
      </w:pPr>
      <w:r w:rsidRPr="19D72ED3">
        <w:rPr>
          <w:rFonts w:ascii="Times New Roman" w:eastAsia="Times New Roman" w:hAnsi="Times New Roman" w:cs="Times New Roman"/>
          <w:sz w:val="18"/>
          <w:szCs w:val="18"/>
          <w:lang w:val="en-US"/>
        </w:rPr>
        <w:t xml:space="preserve">* Where </w:t>
      </w:r>
      <w:r w:rsidRPr="19D72ED3">
        <w:rPr>
          <w:rFonts w:ascii="Times New Roman" w:eastAsia="Times New Roman" w:hAnsi="Times New Roman" w:cs="Times New Roman"/>
          <w:i/>
          <w:iCs/>
          <w:sz w:val="18"/>
          <w:szCs w:val="18"/>
          <w:lang w:val="en-US"/>
        </w:rPr>
        <w:t>sources of evidence</w:t>
      </w:r>
      <w:r w:rsidRPr="19D72ED3">
        <w:rPr>
          <w:rFonts w:ascii="Times New Roman" w:eastAsia="Times New Roman" w:hAnsi="Times New Roman" w:cs="Times New Roman"/>
          <w:sz w:val="18"/>
          <w:szCs w:val="18"/>
          <w:lang w:val="en-US"/>
        </w:rPr>
        <w:t xml:space="preserve"> (see second footnote) are compiled from, such as bibliographic databases, social media platforms, and Web sites.</w:t>
      </w:r>
    </w:p>
    <w:p w14:paraId="5578BB96" w14:textId="77777777" w:rsidR="00E63726" w:rsidRDefault="00E63726" w:rsidP="00E63726">
      <w:pPr>
        <w:spacing w:after="0"/>
        <w:rPr>
          <w:rFonts w:ascii="Times New Roman" w:eastAsia="Times New Roman" w:hAnsi="Times New Roman" w:cs="Times New Roman"/>
          <w:sz w:val="18"/>
          <w:szCs w:val="18"/>
          <w:lang w:val="en-US"/>
        </w:rPr>
      </w:pPr>
      <w:r w:rsidRPr="19D72ED3">
        <w:rPr>
          <w:rFonts w:ascii="Times New Roman" w:eastAsia="Times New Roman" w:hAnsi="Times New Roman" w:cs="Times New Roman"/>
          <w:sz w:val="18"/>
          <w:szCs w:val="18"/>
          <w:lang w:val="en-US"/>
        </w:rPr>
        <w:t xml:space="preserve">† A more inclusive/heterogeneous term used to account for the different types of evidence or data sources (e.g., quantitative and/or qualitative research, expert opinion, and policy documents) that may be eligible in a scoping review as opposed to only studies. This is not to be confused with </w:t>
      </w:r>
      <w:r w:rsidRPr="19D72ED3">
        <w:rPr>
          <w:rFonts w:ascii="Times New Roman" w:eastAsia="Times New Roman" w:hAnsi="Times New Roman" w:cs="Times New Roman"/>
          <w:i/>
          <w:iCs/>
          <w:sz w:val="18"/>
          <w:szCs w:val="18"/>
          <w:lang w:val="en-US"/>
        </w:rPr>
        <w:t>information sources</w:t>
      </w:r>
      <w:r w:rsidRPr="19D72ED3">
        <w:rPr>
          <w:rFonts w:ascii="Times New Roman" w:eastAsia="Times New Roman" w:hAnsi="Times New Roman" w:cs="Times New Roman"/>
          <w:sz w:val="18"/>
          <w:szCs w:val="18"/>
          <w:lang w:val="en-US"/>
        </w:rPr>
        <w:t xml:space="preserve"> (see first footnote).</w:t>
      </w:r>
    </w:p>
    <w:p w14:paraId="13C13B8B" w14:textId="77777777" w:rsidR="00E63726" w:rsidRDefault="00E63726" w:rsidP="00E63726">
      <w:pPr>
        <w:spacing w:after="0"/>
        <w:rPr>
          <w:rFonts w:ascii="Times New Roman" w:eastAsia="Times New Roman" w:hAnsi="Times New Roman" w:cs="Times New Roman"/>
          <w:i/>
          <w:iCs/>
          <w:sz w:val="18"/>
          <w:szCs w:val="18"/>
          <w:lang w:val="en-US"/>
        </w:rPr>
      </w:pPr>
      <w:r w:rsidRPr="19D72ED3">
        <w:rPr>
          <w:rFonts w:ascii="Times New Roman" w:eastAsia="Times New Roman" w:hAnsi="Times New Roman" w:cs="Times New Roman"/>
          <w:sz w:val="18"/>
          <w:szCs w:val="18"/>
          <w:lang w:val="en-US"/>
        </w:rPr>
        <w:t>‡ The frameworks by Arksey and O’Malley (6) and Levac and colleagues (7) and the JBI guidance (4, 5) refer to the process of data extraction in a scoping review as data charting</w:t>
      </w:r>
      <w:r w:rsidRPr="19D72ED3">
        <w:rPr>
          <w:rFonts w:ascii="Times New Roman" w:eastAsia="Times New Roman" w:hAnsi="Times New Roman" w:cs="Times New Roman"/>
          <w:i/>
          <w:iCs/>
          <w:sz w:val="18"/>
          <w:szCs w:val="18"/>
          <w:lang w:val="en-US"/>
        </w:rPr>
        <w:t>.</w:t>
      </w:r>
    </w:p>
    <w:p w14:paraId="7715F2FF" w14:textId="77777777" w:rsidR="00E63726" w:rsidRDefault="00E63726" w:rsidP="00E63726">
      <w:pPr>
        <w:spacing w:after="0"/>
        <w:rPr>
          <w:rFonts w:ascii="Times New Roman" w:eastAsia="Times New Roman" w:hAnsi="Times New Roman" w:cs="Times New Roman"/>
          <w:sz w:val="18"/>
          <w:szCs w:val="18"/>
          <w:lang w:val="en-US"/>
        </w:rPr>
      </w:pPr>
      <w:r w:rsidRPr="19D72ED3">
        <w:rPr>
          <w:rFonts w:ascii="Times New Roman" w:eastAsia="Times New Roman" w:hAnsi="Times New Roman" w:cs="Times New Roman"/>
          <w:sz w:val="18"/>
          <w:szCs w:val="18"/>
          <w:lang w:val="en-US"/>
        </w:rPr>
        <w:t>§</w:t>
      </w:r>
      <w:r w:rsidRPr="19D72ED3">
        <w:rPr>
          <w:rFonts w:ascii="Times New Roman" w:eastAsia="Times New Roman" w:hAnsi="Times New Roman" w:cs="Times New Roman"/>
          <w:i/>
          <w:iCs/>
          <w:sz w:val="18"/>
          <w:szCs w:val="18"/>
          <w:lang w:val="en-US"/>
        </w:rPr>
        <w:t xml:space="preserve"> </w:t>
      </w:r>
      <w:r w:rsidRPr="19D72ED3">
        <w:rPr>
          <w:rFonts w:ascii="Times New Roman" w:eastAsia="Times New Roman" w:hAnsi="Times New Roman" w:cs="Times New Roman"/>
          <w:sz w:val="18"/>
          <w:szCs w:val="18"/>
          <w:lang w:val="en-US"/>
        </w:rPr>
        <w:t>The process of systematically examining research evidence to assess its validity, results, and relevance before using it to inform a decision. This term is used for items 12 and 19 instead of "risk of bias" (which is more applicable to systematic reviews of interventions) to include and acknowledge the various sources of evidence that may be used in a scoping review (e.g., quantitative and/or qualitative research, expert opinion, and policy document).</w:t>
      </w:r>
    </w:p>
    <w:p w14:paraId="201826FC" w14:textId="77777777" w:rsidR="00E63726" w:rsidRDefault="00E63726" w:rsidP="00E63726">
      <w:pPr>
        <w:spacing w:before="240" w:after="200"/>
        <w:rPr>
          <w:rFonts w:ascii="Times New Roman" w:eastAsia="Times New Roman" w:hAnsi="Times New Roman" w:cs="Times New Roman"/>
          <w:sz w:val="18"/>
          <w:szCs w:val="18"/>
          <w:lang w:val="en-US"/>
        </w:rPr>
      </w:pPr>
      <w:r w:rsidRPr="19D72ED3">
        <w:rPr>
          <w:rFonts w:ascii="Times New Roman" w:eastAsia="Times New Roman" w:hAnsi="Times New Roman" w:cs="Times New Roman"/>
          <w:i/>
          <w:iCs/>
          <w:sz w:val="18"/>
          <w:szCs w:val="18"/>
          <w:lang w:val="en-US"/>
        </w:rPr>
        <w:t>From:</w:t>
      </w:r>
      <w:r w:rsidRPr="19D72ED3">
        <w:rPr>
          <w:rFonts w:ascii="Times New Roman" w:eastAsia="Times New Roman" w:hAnsi="Times New Roman" w:cs="Times New Roman"/>
          <w:sz w:val="18"/>
          <w:szCs w:val="18"/>
          <w:lang w:val="en-US"/>
        </w:rPr>
        <w:t xml:space="preserve"> Tricco AC, Lillie E, Zarin W, O'Brien KK, Colquhoun H, Levac D, et al. PRISMA Extension for Scoping Reviews (PRISMAScR): Checklist and Explanation. Ann Intern Med. 2018;169:467–473. </w:t>
      </w:r>
      <w:hyperlink r:id="rId36">
        <w:r w:rsidRPr="19D72ED3">
          <w:rPr>
            <w:rStyle w:val="Hyperlink"/>
            <w:rFonts w:ascii="Times New Roman" w:eastAsia="Times New Roman" w:hAnsi="Times New Roman" w:cs="Times New Roman"/>
            <w:color w:val="2E5D8B"/>
            <w:lang w:val="en-US"/>
          </w:rPr>
          <w:t>doi: 10.7326/M18-0850</w:t>
        </w:r>
      </w:hyperlink>
      <w:r w:rsidRPr="19D72ED3">
        <w:rPr>
          <w:rFonts w:ascii="Times New Roman" w:eastAsia="Times New Roman" w:hAnsi="Times New Roman" w:cs="Times New Roman"/>
          <w:sz w:val="18"/>
          <w:szCs w:val="18"/>
          <w:lang w:val="en-US"/>
        </w:rPr>
        <w:t>.</w:t>
      </w:r>
    </w:p>
    <w:p w14:paraId="54671A84" w14:textId="77777777" w:rsidR="1E959256" w:rsidRPr="008C17AC" w:rsidRDefault="1E959256" w:rsidP="00E95B3F">
      <w:pPr>
        <w:spacing w:after="120" w:line="360" w:lineRule="auto"/>
        <w:ind w:firstLine="567"/>
        <w:rPr>
          <w:rFonts w:ascii="Times New Roman" w:eastAsia="Times New Roman" w:hAnsi="Times New Roman" w:cs="Times New Roman"/>
          <w:sz w:val="24"/>
          <w:szCs w:val="24"/>
        </w:rPr>
      </w:pPr>
      <w:bookmarkStart w:id="0" w:name="_GoBack"/>
      <w:bookmarkEnd w:id="0"/>
    </w:p>
    <w:sectPr w:rsidR="1E959256" w:rsidRPr="008C17AC" w:rsidSect="00BA02C3">
      <w:pgSz w:w="11906" w:h="16838"/>
      <w:pgMar w:top="1440" w:right="1440" w:bottom="1440" w:left="1440" w:header="720" w:footer="720" w:gutter="0"/>
      <w:cols w:space="720"/>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FA010" w14:textId="77777777" w:rsidR="005301A1" w:rsidRDefault="005301A1">
      <w:pPr>
        <w:spacing w:after="0" w:line="240" w:lineRule="auto"/>
      </w:pPr>
      <w:r>
        <w:separator/>
      </w:r>
    </w:p>
  </w:endnote>
  <w:endnote w:type="continuationSeparator" w:id="0">
    <w:p w14:paraId="14D5521A" w14:textId="77777777" w:rsidR="005301A1" w:rsidRDefault="005301A1">
      <w:pPr>
        <w:spacing w:after="0" w:line="240" w:lineRule="auto"/>
      </w:pPr>
      <w:r>
        <w:continuationSeparator/>
      </w:r>
    </w:p>
  </w:endnote>
  <w:endnote w:type="continuationNotice" w:id="1">
    <w:p w14:paraId="71E51A54" w14:textId="77777777" w:rsidR="005301A1" w:rsidRDefault="005301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342FD3" w14:textId="77777777" w:rsidR="005301A1" w:rsidRDefault="005301A1">
      <w:pPr>
        <w:spacing w:after="0" w:line="240" w:lineRule="auto"/>
      </w:pPr>
      <w:r>
        <w:separator/>
      </w:r>
    </w:p>
  </w:footnote>
  <w:footnote w:type="continuationSeparator" w:id="0">
    <w:p w14:paraId="1575F876" w14:textId="77777777" w:rsidR="005301A1" w:rsidRDefault="005301A1">
      <w:pPr>
        <w:spacing w:after="0" w:line="240" w:lineRule="auto"/>
      </w:pPr>
      <w:r>
        <w:continuationSeparator/>
      </w:r>
    </w:p>
  </w:footnote>
  <w:footnote w:type="continuationNotice" w:id="1">
    <w:p w14:paraId="73A7A9B5" w14:textId="77777777" w:rsidR="005301A1" w:rsidRDefault="005301A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4E1F6"/>
    <w:multiLevelType w:val="hybridMultilevel"/>
    <w:tmpl w:val="AE68473E"/>
    <w:lvl w:ilvl="0" w:tplc="FFFFFFFF">
      <w:start w:val="1"/>
      <w:numFmt w:val="decimal"/>
      <w:lvlText w:val="%1."/>
      <w:lvlJc w:val="left"/>
      <w:pPr>
        <w:ind w:left="720" w:hanging="360"/>
      </w:pPr>
    </w:lvl>
    <w:lvl w:ilvl="1" w:tplc="A95A850A">
      <w:start w:val="1"/>
      <w:numFmt w:val="lowerLetter"/>
      <w:lvlText w:val="%2."/>
      <w:lvlJc w:val="left"/>
      <w:pPr>
        <w:ind w:left="1440" w:hanging="360"/>
      </w:pPr>
    </w:lvl>
    <w:lvl w:ilvl="2" w:tplc="67F21B5E">
      <w:start w:val="1"/>
      <w:numFmt w:val="lowerRoman"/>
      <w:lvlText w:val="%3."/>
      <w:lvlJc w:val="right"/>
      <w:pPr>
        <w:ind w:left="2160" w:hanging="180"/>
      </w:pPr>
    </w:lvl>
    <w:lvl w:ilvl="3" w:tplc="5AF4C9B2">
      <w:start w:val="1"/>
      <w:numFmt w:val="decimal"/>
      <w:lvlText w:val="%4."/>
      <w:lvlJc w:val="left"/>
      <w:pPr>
        <w:ind w:left="2880" w:hanging="360"/>
      </w:pPr>
    </w:lvl>
    <w:lvl w:ilvl="4" w:tplc="70003F10">
      <w:start w:val="1"/>
      <w:numFmt w:val="lowerLetter"/>
      <w:lvlText w:val="%5."/>
      <w:lvlJc w:val="left"/>
      <w:pPr>
        <w:ind w:left="3600" w:hanging="360"/>
      </w:pPr>
    </w:lvl>
    <w:lvl w:ilvl="5" w:tplc="DB5E6174">
      <w:start w:val="1"/>
      <w:numFmt w:val="lowerRoman"/>
      <w:lvlText w:val="%6."/>
      <w:lvlJc w:val="right"/>
      <w:pPr>
        <w:ind w:left="4320" w:hanging="180"/>
      </w:pPr>
    </w:lvl>
    <w:lvl w:ilvl="6" w:tplc="F5184C62">
      <w:start w:val="1"/>
      <w:numFmt w:val="decimal"/>
      <w:lvlText w:val="%7."/>
      <w:lvlJc w:val="left"/>
      <w:pPr>
        <w:ind w:left="5040" w:hanging="360"/>
      </w:pPr>
    </w:lvl>
    <w:lvl w:ilvl="7" w:tplc="C8E0D86C">
      <w:start w:val="1"/>
      <w:numFmt w:val="lowerLetter"/>
      <w:lvlText w:val="%8."/>
      <w:lvlJc w:val="left"/>
      <w:pPr>
        <w:ind w:left="5760" w:hanging="360"/>
      </w:pPr>
    </w:lvl>
    <w:lvl w:ilvl="8" w:tplc="250A6662">
      <w:start w:val="1"/>
      <w:numFmt w:val="lowerRoman"/>
      <w:lvlText w:val="%9."/>
      <w:lvlJc w:val="right"/>
      <w:pPr>
        <w:ind w:left="6480" w:hanging="180"/>
      </w:pPr>
    </w:lvl>
  </w:abstractNum>
  <w:abstractNum w:abstractNumId="1" w15:restartNumberingAfterBreak="0">
    <w:nsid w:val="13234131"/>
    <w:multiLevelType w:val="hybridMultilevel"/>
    <w:tmpl w:val="5A1691EA"/>
    <w:lvl w:ilvl="0" w:tplc="4D147BBE">
      <w:start w:val="1"/>
      <w:numFmt w:val="decimal"/>
      <w:lvlText w:val="%1."/>
      <w:lvlJc w:val="left"/>
      <w:pPr>
        <w:ind w:left="720" w:hanging="360"/>
      </w:pPr>
    </w:lvl>
    <w:lvl w:ilvl="1" w:tplc="BD1085B4">
      <w:start w:val="1"/>
      <w:numFmt w:val="lowerLetter"/>
      <w:lvlText w:val="%2."/>
      <w:lvlJc w:val="left"/>
      <w:pPr>
        <w:ind w:left="1440" w:hanging="360"/>
      </w:pPr>
    </w:lvl>
    <w:lvl w:ilvl="2" w:tplc="AF4ED9C0">
      <w:start w:val="1"/>
      <w:numFmt w:val="lowerRoman"/>
      <w:lvlText w:val="%3."/>
      <w:lvlJc w:val="right"/>
      <w:pPr>
        <w:ind w:left="2160" w:hanging="180"/>
      </w:pPr>
    </w:lvl>
    <w:lvl w:ilvl="3" w:tplc="5994E644">
      <w:start w:val="1"/>
      <w:numFmt w:val="decimal"/>
      <w:lvlText w:val="%4."/>
      <w:lvlJc w:val="left"/>
      <w:pPr>
        <w:ind w:left="2880" w:hanging="360"/>
      </w:pPr>
    </w:lvl>
    <w:lvl w:ilvl="4" w:tplc="50B21BF4">
      <w:start w:val="1"/>
      <w:numFmt w:val="lowerLetter"/>
      <w:lvlText w:val="%5."/>
      <w:lvlJc w:val="left"/>
      <w:pPr>
        <w:ind w:left="3600" w:hanging="360"/>
      </w:pPr>
    </w:lvl>
    <w:lvl w:ilvl="5" w:tplc="DB1E98C2">
      <w:start w:val="1"/>
      <w:numFmt w:val="lowerRoman"/>
      <w:lvlText w:val="%6."/>
      <w:lvlJc w:val="right"/>
      <w:pPr>
        <w:ind w:left="4320" w:hanging="180"/>
      </w:pPr>
    </w:lvl>
    <w:lvl w:ilvl="6" w:tplc="CCBCBDD2">
      <w:start w:val="1"/>
      <w:numFmt w:val="decimal"/>
      <w:lvlText w:val="%7."/>
      <w:lvlJc w:val="left"/>
      <w:pPr>
        <w:ind w:left="5040" w:hanging="360"/>
      </w:pPr>
    </w:lvl>
    <w:lvl w:ilvl="7" w:tplc="9F06188C">
      <w:start w:val="1"/>
      <w:numFmt w:val="lowerLetter"/>
      <w:lvlText w:val="%8."/>
      <w:lvlJc w:val="left"/>
      <w:pPr>
        <w:ind w:left="5760" w:hanging="360"/>
      </w:pPr>
    </w:lvl>
    <w:lvl w:ilvl="8" w:tplc="F6445602">
      <w:start w:val="1"/>
      <w:numFmt w:val="lowerRoman"/>
      <w:lvlText w:val="%9."/>
      <w:lvlJc w:val="right"/>
      <w:pPr>
        <w:ind w:left="6480" w:hanging="180"/>
      </w:pPr>
    </w:lvl>
  </w:abstractNum>
  <w:abstractNum w:abstractNumId="2" w15:restartNumberingAfterBreak="0">
    <w:nsid w:val="23E55DB2"/>
    <w:multiLevelType w:val="hybridMultilevel"/>
    <w:tmpl w:val="B4C0D4CA"/>
    <w:lvl w:ilvl="0" w:tplc="FB50F254">
      <w:start w:val="1"/>
      <w:numFmt w:val="decimal"/>
      <w:lvlText w:val="%1."/>
      <w:lvlJc w:val="left"/>
      <w:pPr>
        <w:ind w:left="720" w:hanging="360"/>
      </w:pPr>
    </w:lvl>
    <w:lvl w:ilvl="1" w:tplc="3A7E451A">
      <w:start w:val="1"/>
      <w:numFmt w:val="lowerLetter"/>
      <w:lvlText w:val="%2."/>
      <w:lvlJc w:val="left"/>
      <w:pPr>
        <w:ind w:left="1440" w:hanging="360"/>
      </w:pPr>
    </w:lvl>
    <w:lvl w:ilvl="2" w:tplc="889414A8">
      <w:start w:val="1"/>
      <w:numFmt w:val="lowerRoman"/>
      <w:lvlText w:val="%3."/>
      <w:lvlJc w:val="right"/>
      <w:pPr>
        <w:ind w:left="2160" w:hanging="180"/>
      </w:pPr>
    </w:lvl>
    <w:lvl w:ilvl="3" w:tplc="EA4CFBDE">
      <w:start w:val="1"/>
      <w:numFmt w:val="decimal"/>
      <w:lvlText w:val="%4."/>
      <w:lvlJc w:val="left"/>
      <w:pPr>
        <w:ind w:left="2880" w:hanging="360"/>
      </w:pPr>
    </w:lvl>
    <w:lvl w:ilvl="4" w:tplc="3ECED160">
      <w:start w:val="1"/>
      <w:numFmt w:val="lowerLetter"/>
      <w:lvlText w:val="%5."/>
      <w:lvlJc w:val="left"/>
      <w:pPr>
        <w:ind w:left="3600" w:hanging="360"/>
      </w:pPr>
    </w:lvl>
    <w:lvl w:ilvl="5" w:tplc="028E3D72">
      <w:start w:val="1"/>
      <w:numFmt w:val="lowerRoman"/>
      <w:lvlText w:val="%6."/>
      <w:lvlJc w:val="right"/>
      <w:pPr>
        <w:ind w:left="4320" w:hanging="180"/>
      </w:pPr>
    </w:lvl>
    <w:lvl w:ilvl="6" w:tplc="92343BD0">
      <w:start w:val="1"/>
      <w:numFmt w:val="decimal"/>
      <w:lvlText w:val="%7."/>
      <w:lvlJc w:val="left"/>
      <w:pPr>
        <w:ind w:left="5040" w:hanging="360"/>
      </w:pPr>
    </w:lvl>
    <w:lvl w:ilvl="7" w:tplc="2910B602">
      <w:start w:val="1"/>
      <w:numFmt w:val="lowerLetter"/>
      <w:lvlText w:val="%8."/>
      <w:lvlJc w:val="left"/>
      <w:pPr>
        <w:ind w:left="5760" w:hanging="360"/>
      </w:pPr>
    </w:lvl>
    <w:lvl w:ilvl="8" w:tplc="0CBA7726">
      <w:start w:val="1"/>
      <w:numFmt w:val="lowerRoman"/>
      <w:lvlText w:val="%9."/>
      <w:lvlJc w:val="right"/>
      <w:pPr>
        <w:ind w:left="6480" w:hanging="180"/>
      </w:pPr>
    </w:lvl>
  </w:abstractNum>
  <w:abstractNum w:abstractNumId="3" w15:restartNumberingAfterBreak="0">
    <w:nsid w:val="26C73641"/>
    <w:multiLevelType w:val="hybridMultilevel"/>
    <w:tmpl w:val="EF60004E"/>
    <w:lvl w:ilvl="0" w:tplc="2D5CA6D0">
      <w:start w:val="1"/>
      <w:numFmt w:val="bullet"/>
      <w:lvlText w:val="·"/>
      <w:lvlJc w:val="left"/>
      <w:pPr>
        <w:ind w:left="720" w:hanging="360"/>
      </w:pPr>
      <w:rPr>
        <w:rFonts w:ascii="Symbol" w:hAnsi="Symbol" w:hint="default"/>
      </w:rPr>
    </w:lvl>
    <w:lvl w:ilvl="1" w:tplc="23FA9BCC">
      <w:start w:val="1"/>
      <w:numFmt w:val="bullet"/>
      <w:lvlText w:val="o"/>
      <w:lvlJc w:val="left"/>
      <w:pPr>
        <w:ind w:left="1440" w:hanging="360"/>
      </w:pPr>
      <w:rPr>
        <w:rFonts w:ascii="Courier New" w:hAnsi="Courier New" w:hint="default"/>
      </w:rPr>
    </w:lvl>
    <w:lvl w:ilvl="2" w:tplc="65609972">
      <w:start w:val="1"/>
      <w:numFmt w:val="bullet"/>
      <w:lvlText w:val=""/>
      <w:lvlJc w:val="left"/>
      <w:pPr>
        <w:ind w:left="2160" w:hanging="360"/>
      </w:pPr>
      <w:rPr>
        <w:rFonts w:ascii="Wingdings" w:hAnsi="Wingdings" w:hint="default"/>
      </w:rPr>
    </w:lvl>
    <w:lvl w:ilvl="3" w:tplc="49629ED2">
      <w:start w:val="1"/>
      <w:numFmt w:val="bullet"/>
      <w:lvlText w:val=""/>
      <w:lvlJc w:val="left"/>
      <w:pPr>
        <w:ind w:left="2880" w:hanging="360"/>
      </w:pPr>
      <w:rPr>
        <w:rFonts w:ascii="Symbol" w:hAnsi="Symbol" w:hint="default"/>
      </w:rPr>
    </w:lvl>
    <w:lvl w:ilvl="4" w:tplc="769A8AE8">
      <w:start w:val="1"/>
      <w:numFmt w:val="bullet"/>
      <w:lvlText w:val="o"/>
      <w:lvlJc w:val="left"/>
      <w:pPr>
        <w:ind w:left="3600" w:hanging="360"/>
      </w:pPr>
      <w:rPr>
        <w:rFonts w:ascii="Courier New" w:hAnsi="Courier New" w:hint="default"/>
      </w:rPr>
    </w:lvl>
    <w:lvl w:ilvl="5" w:tplc="9182A9C2">
      <w:start w:val="1"/>
      <w:numFmt w:val="bullet"/>
      <w:lvlText w:val=""/>
      <w:lvlJc w:val="left"/>
      <w:pPr>
        <w:ind w:left="4320" w:hanging="360"/>
      </w:pPr>
      <w:rPr>
        <w:rFonts w:ascii="Wingdings" w:hAnsi="Wingdings" w:hint="default"/>
      </w:rPr>
    </w:lvl>
    <w:lvl w:ilvl="6" w:tplc="07466D5A">
      <w:start w:val="1"/>
      <w:numFmt w:val="bullet"/>
      <w:lvlText w:val=""/>
      <w:lvlJc w:val="left"/>
      <w:pPr>
        <w:ind w:left="5040" w:hanging="360"/>
      </w:pPr>
      <w:rPr>
        <w:rFonts w:ascii="Symbol" w:hAnsi="Symbol" w:hint="default"/>
      </w:rPr>
    </w:lvl>
    <w:lvl w:ilvl="7" w:tplc="74A2F1D2">
      <w:start w:val="1"/>
      <w:numFmt w:val="bullet"/>
      <w:lvlText w:val="o"/>
      <w:lvlJc w:val="left"/>
      <w:pPr>
        <w:ind w:left="5760" w:hanging="360"/>
      </w:pPr>
      <w:rPr>
        <w:rFonts w:ascii="Courier New" w:hAnsi="Courier New" w:hint="default"/>
      </w:rPr>
    </w:lvl>
    <w:lvl w:ilvl="8" w:tplc="CC76798E">
      <w:start w:val="1"/>
      <w:numFmt w:val="bullet"/>
      <w:lvlText w:val=""/>
      <w:lvlJc w:val="left"/>
      <w:pPr>
        <w:ind w:left="6480" w:hanging="360"/>
      </w:pPr>
      <w:rPr>
        <w:rFonts w:ascii="Wingdings" w:hAnsi="Wingdings" w:hint="default"/>
      </w:rPr>
    </w:lvl>
  </w:abstractNum>
  <w:abstractNum w:abstractNumId="4" w15:restartNumberingAfterBreak="0">
    <w:nsid w:val="4073E420"/>
    <w:multiLevelType w:val="hybridMultilevel"/>
    <w:tmpl w:val="76980656"/>
    <w:lvl w:ilvl="0" w:tplc="722A3D64">
      <w:start w:val="1"/>
      <w:numFmt w:val="bullet"/>
      <w:lvlText w:val="-"/>
      <w:lvlJc w:val="left"/>
      <w:pPr>
        <w:ind w:left="720" w:hanging="360"/>
      </w:pPr>
      <w:rPr>
        <w:rFonts w:ascii="Calibri" w:hAnsi="Calibri" w:hint="default"/>
      </w:rPr>
    </w:lvl>
    <w:lvl w:ilvl="1" w:tplc="A53C9EFE">
      <w:start w:val="1"/>
      <w:numFmt w:val="bullet"/>
      <w:lvlText w:val="o"/>
      <w:lvlJc w:val="left"/>
      <w:pPr>
        <w:ind w:left="1440" w:hanging="360"/>
      </w:pPr>
      <w:rPr>
        <w:rFonts w:ascii="Courier New" w:hAnsi="Courier New" w:hint="default"/>
      </w:rPr>
    </w:lvl>
    <w:lvl w:ilvl="2" w:tplc="03B8ECD8">
      <w:start w:val="1"/>
      <w:numFmt w:val="bullet"/>
      <w:lvlText w:val=""/>
      <w:lvlJc w:val="left"/>
      <w:pPr>
        <w:ind w:left="2160" w:hanging="360"/>
      </w:pPr>
      <w:rPr>
        <w:rFonts w:ascii="Wingdings" w:hAnsi="Wingdings" w:hint="default"/>
      </w:rPr>
    </w:lvl>
    <w:lvl w:ilvl="3" w:tplc="AC3E4DBC">
      <w:start w:val="1"/>
      <w:numFmt w:val="bullet"/>
      <w:lvlText w:val=""/>
      <w:lvlJc w:val="left"/>
      <w:pPr>
        <w:ind w:left="2880" w:hanging="360"/>
      </w:pPr>
      <w:rPr>
        <w:rFonts w:ascii="Symbol" w:hAnsi="Symbol" w:hint="default"/>
      </w:rPr>
    </w:lvl>
    <w:lvl w:ilvl="4" w:tplc="BF0CDF44">
      <w:start w:val="1"/>
      <w:numFmt w:val="bullet"/>
      <w:lvlText w:val="o"/>
      <w:lvlJc w:val="left"/>
      <w:pPr>
        <w:ind w:left="3600" w:hanging="360"/>
      </w:pPr>
      <w:rPr>
        <w:rFonts w:ascii="Courier New" w:hAnsi="Courier New" w:hint="default"/>
      </w:rPr>
    </w:lvl>
    <w:lvl w:ilvl="5" w:tplc="B0F4181E">
      <w:start w:val="1"/>
      <w:numFmt w:val="bullet"/>
      <w:lvlText w:val=""/>
      <w:lvlJc w:val="left"/>
      <w:pPr>
        <w:ind w:left="4320" w:hanging="360"/>
      </w:pPr>
      <w:rPr>
        <w:rFonts w:ascii="Wingdings" w:hAnsi="Wingdings" w:hint="default"/>
      </w:rPr>
    </w:lvl>
    <w:lvl w:ilvl="6" w:tplc="9F7A74F2">
      <w:start w:val="1"/>
      <w:numFmt w:val="bullet"/>
      <w:lvlText w:val=""/>
      <w:lvlJc w:val="left"/>
      <w:pPr>
        <w:ind w:left="5040" w:hanging="360"/>
      </w:pPr>
      <w:rPr>
        <w:rFonts w:ascii="Symbol" w:hAnsi="Symbol" w:hint="default"/>
      </w:rPr>
    </w:lvl>
    <w:lvl w:ilvl="7" w:tplc="0B2E6412">
      <w:start w:val="1"/>
      <w:numFmt w:val="bullet"/>
      <w:lvlText w:val="o"/>
      <w:lvlJc w:val="left"/>
      <w:pPr>
        <w:ind w:left="5760" w:hanging="360"/>
      </w:pPr>
      <w:rPr>
        <w:rFonts w:ascii="Courier New" w:hAnsi="Courier New" w:hint="default"/>
      </w:rPr>
    </w:lvl>
    <w:lvl w:ilvl="8" w:tplc="88300F0C">
      <w:start w:val="1"/>
      <w:numFmt w:val="bullet"/>
      <w:lvlText w:val=""/>
      <w:lvlJc w:val="left"/>
      <w:pPr>
        <w:ind w:left="6480" w:hanging="360"/>
      </w:pPr>
      <w:rPr>
        <w:rFonts w:ascii="Wingdings" w:hAnsi="Wingdings" w:hint="default"/>
      </w:rPr>
    </w:lvl>
  </w:abstractNum>
  <w:abstractNum w:abstractNumId="5" w15:restartNumberingAfterBreak="0">
    <w:nsid w:val="589B02FE"/>
    <w:multiLevelType w:val="hybridMultilevel"/>
    <w:tmpl w:val="35E4ECD8"/>
    <w:lvl w:ilvl="0" w:tplc="E1AC0904">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3"/>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09630B7"/>
    <w:rsid w:val="00004DA0"/>
    <w:rsid w:val="00005172"/>
    <w:rsid w:val="0001587D"/>
    <w:rsid w:val="00017545"/>
    <w:rsid w:val="000204F3"/>
    <w:rsid w:val="00023C57"/>
    <w:rsid w:val="000311E4"/>
    <w:rsid w:val="000334BE"/>
    <w:rsid w:val="000433F1"/>
    <w:rsid w:val="0004ECA8"/>
    <w:rsid w:val="00050858"/>
    <w:rsid w:val="00062ACD"/>
    <w:rsid w:val="00062D3F"/>
    <w:rsid w:val="00064AF6"/>
    <w:rsid w:val="00067E4B"/>
    <w:rsid w:val="00074AE5"/>
    <w:rsid w:val="00075B01"/>
    <w:rsid w:val="000764FB"/>
    <w:rsid w:val="00077349"/>
    <w:rsid w:val="000773A4"/>
    <w:rsid w:val="00080D90"/>
    <w:rsid w:val="00083D61"/>
    <w:rsid w:val="00084920"/>
    <w:rsid w:val="00092652"/>
    <w:rsid w:val="0009531F"/>
    <w:rsid w:val="000A0740"/>
    <w:rsid w:val="000B1A62"/>
    <w:rsid w:val="000B2F5F"/>
    <w:rsid w:val="000B58F0"/>
    <w:rsid w:val="000B5D2D"/>
    <w:rsid w:val="000D5617"/>
    <w:rsid w:val="000E2A0D"/>
    <w:rsid w:val="000E48FC"/>
    <w:rsid w:val="000E56CF"/>
    <w:rsid w:val="000E646D"/>
    <w:rsid w:val="000EB213"/>
    <w:rsid w:val="000F2CCA"/>
    <w:rsid w:val="000F2F1A"/>
    <w:rsid w:val="000F7B78"/>
    <w:rsid w:val="00102930"/>
    <w:rsid w:val="00103FB2"/>
    <w:rsid w:val="0010539B"/>
    <w:rsid w:val="001159D1"/>
    <w:rsid w:val="001160BB"/>
    <w:rsid w:val="00120B07"/>
    <w:rsid w:val="001249D7"/>
    <w:rsid w:val="00124BA9"/>
    <w:rsid w:val="00124E7F"/>
    <w:rsid w:val="001331A8"/>
    <w:rsid w:val="001372A6"/>
    <w:rsid w:val="0014187B"/>
    <w:rsid w:val="001454F4"/>
    <w:rsid w:val="00145C5F"/>
    <w:rsid w:val="0014692E"/>
    <w:rsid w:val="00152CDE"/>
    <w:rsid w:val="00152F15"/>
    <w:rsid w:val="001552CD"/>
    <w:rsid w:val="00156642"/>
    <w:rsid w:val="00165B8A"/>
    <w:rsid w:val="00171FE9"/>
    <w:rsid w:val="00172A4C"/>
    <w:rsid w:val="00174035"/>
    <w:rsid w:val="00177437"/>
    <w:rsid w:val="00181450"/>
    <w:rsid w:val="00181A21"/>
    <w:rsid w:val="001827E9"/>
    <w:rsid w:val="0019023E"/>
    <w:rsid w:val="00197A22"/>
    <w:rsid w:val="001A36DC"/>
    <w:rsid w:val="001A4D8E"/>
    <w:rsid w:val="001C4FD2"/>
    <w:rsid w:val="001C5E23"/>
    <w:rsid w:val="001D3995"/>
    <w:rsid w:val="001E3CF3"/>
    <w:rsid w:val="001E42ED"/>
    <w:rsid w:val="001F12EA"/>
    <w:rsid w:val="001F1819"/>
    <w:rsid w:val="001F2ED3"/>
    <w:rsid w:val="001F3CB5"/>
    <w:rsid w:val="00200EB6"/>
    <w:rsid w:val="00202AAD"/>
    <w:rsid w:val="002030DB"/>
    <w:rsid w:val="00203658"/>
    <w:rsid w:val="0020594E"/>
    <w:rsid w:val="00206B74"/>
    <w:rsid w:val="002152D0"/>
    <w:rsid w:val="00215DB0"/>
    <w:rsid w:val="0022056B"/>
    <w:rsid w:val="00221402"/>
    <w:rsid w:val="002216BE"/>
    <w:rsid w:val="00226D3F"/>
    <w:rsid w:val="00227005"/>
    <w:rsid w:val="00233E5A"/>
    <w:rsid w:val="0023CE86"/>
    <w:rsid w:val="0024342B"/>
    <w:rsid w:val="002557C0"/>
    <w:rsid w:val="00257665"/>
    <w:rsid w:val="00257AE0"/>
    <w:rsid w:val="002634CF"/>
    <w:rsid w:val="002650C3"/>
    <w:rsid w:val="00270454"/>
    <w:rsid w:val="002715FE"/>
    <w:rsid w:val="002744A2"/>
    <w:rsid w:val="002773D1"/>
    <w:rsid w:val="002851FC"/>
    <w:rsid w:val="002902C4"/>
    <w:rsid w:val="00291171"/>
    <w:rsid w:val="002A05D3"/>
    <w:rsid w:val="002A566B"/>
    <w:rsid w:val="002B1296"/>
    <w:rsid w:val="002B22C5"/>
    <w:rsid w:val="002B2770"/>
    <w:rsid w:val="002C6E6B"/>
    <w:rsid w:val="002D21CA"/>
    <w:rsid w:val="002D2ABD"/>
    <w:rsid w:val="002E341F"/>
    <w:rsid w:val="002E3681"/>
    <w:rsid w:val="00302071"/>
    <w:rsid w:val="0030337A"/>
    <w:rsid w:val="00303BCD"/>
    <w:rsid w:val="00306B7C"/>
    <w:rsid w:val="0031180B"/>
    <w:rsid w:val="00326F1E"/>
    <w:rsid w:val="00332DB3"/>
    <w:rsid w:val="003355E3"/>
    <w:rsid w:val="003571A1"/>
    <w:rsid w:val="00363762"/>
    <w:rsid w:val="0036F9F5"/>
    <w:rsid w:val="003723A0"/>
    <w:rsid w:val="003726BC"/>
    <w:rsid w:val="00373E23"/>
    <w:rsid w:val="00374EA8"/>
    <w:rsid w:val="00374FDD"/>
    <w:rsid w:val="003758F1"/>
    <w:rsid w:val="00383BA8"/>
    <w:rsid w:val="0038549E"/>
    <w:rsid w:val="00385E0E"/>
    <w:rsid w:val="0039041C"/>
    <w:rsid w:val="003A2EF1"/>
    <w:rsid w:val="003A521F"/>
    <w:rsid w:val="003A5F20"/>
    <w:rsid w:val="003B11A6"/>
    <w:rsid w:val="003B333A"/>
    <w:rsid w:val="003B7C68"/>
    <w:rsid w:val="003BCDCD"/>
    <w:rsid w:val="003C5C06"/>
    <w:rsid w:val="003C73A7"/>
    <w:rsid w:val="003C75A3"/>
    <w:rsid w:val="003D247E"/>
    <w:rsid w:val="003D4927"/>
    <w:rsid w:val="003E3D9E"/>
    <w:rsid w:val="003E6519"/>
    <w:rsid w:val="003F0ADD"/>
    <w:rsid w:val="003F20EA"/>
    <w:rsid w:val="003F4242"/>
    <w:rsid w:val="003F4746"/>
    <w:rsid w:val="003F7151"/>
    <w:rsid w:val="003F7289"/>
    <w:rsid w:val="004012A7"/>
    <w:rsid w:val="004021AE"/>
    <w:rsid w:val="00403679"/>
    <w:rsid w:val="00411CBF"/>
    <w:rsid w:val="004165D1"/>
    <w:rsid w:val="0042CA4F"/>
    <w:rsid w:val="00430846"/>
    <w:rsid w:val="00430C4C"/>
    <w:rsid w:val="00431946"/>
    <w:rsid w:val="00440B21"/>
    <w:rsid w:val="00442D94"/>
    <w:rsid w:val="00450490"/>
    <w:rsid w:val="004537E9"/>
    <w:rsid w:val="00453908"/>
    <w:rsid w:val="00455CF8"/>
    <w:rsid w:val="0046566D"/>
    <w:rsid w:val="0046649C"/>
    <w:rsid w:val="00466AFB"/>
    <w:rsid w:val="0046A5BF"/>
    <w:rsid w:val="00470A3F"/>
    <w:rsid w:val="00470A84"/>
    <w:rsid w:val="004715E5"/>
    <w:rsid w:val="004730E8"/>
    <w:rsid w:val="00475FA8"/>
    <w:rsid w:val="00480E6E"/>
    <w:rsid w:val="004818D8"/>
    <w:rsid w:val="004904CA"/>
    <w:rsid w:val="00490A04"/>
    <w:rsid w:val="00491ED0"/>
    <w:rsid w:val="004922E0"/>
    <w:rsid w:val="004930B2"/>
    <w:rsid w:val="00496790"/>
    <w:rsid w:val="004A4BB9"/>
    <w:rsid w:val="004A73A7"/>
    <w:rsid w:val="004B1804"/>
    <w:rsid w:val="004B1F09"/>
    <w:rsid w:val="004C68D9"/>
    <w:rsid w:val="004D150B"/>
    <w:rsid w:val="004D5900"/>
    <w:rsid w:val="004D60C2"/>
    <w:rsid w:val="004E1F51"/>
    <w:rsid w:val="004E3AEA"/>
    <w:rsid w:val="004E7BBA"/>
    <w:rsid w:val="004F2F05"/>
    <w:rsid w:val="0050102F"/>
    <w:rsid w:val="00502DA8"/>
    <w:rsid w:val="00503C30"/>
    <w:rsid w:val="00507112"/>
    <w:rsid w:val="0050711E"/>
    <w:rsid w:val="0051193C"/>
    <w:rsid w:val="005167F2"/>
    <w:rsid w:val="00517A72"/>
    <w:rsid w:val="00517D32"/>
    <w:rsid w:val="00526EFB"/>
    <w:rsid w:val="005301A1"/>
    <w:rsid w:val="00540EC1"/>
    <w:rsid w:val="005508D6"/>
    <w:rsid w:val="00557D78"/>
    <w:rsid w:val="005648EF"/>
    <w:rsid w:val="00565C79"/>
    <w:rsid w:val="005672C5"/>
    <w:rsid w:val="00572A32"/>
    <w:rsid w:val="005754E9"/>
    <w:rsid w:val="00575A4C"/>
    <w:rsid w:val="00576215"/>
    <w:rsid w:val="0058510F"/>
    <w:rsid w:val="005865A9"/>
    <w:rsid w:val="005905F2"/>
    <w:rsid w:val="0059754E"/>
    <w:rsid w:val="005A1DC9"/>
    <w:rsid w:val="005A441A"/>
    <w:rsid w:val="005AE95F"/>
    <w:rsid w:val="005B68C3"/>
    <w:rsid w:val="005B6F52"/>
    <w:rsid w:val="005B6F71"/>
    <w:rsid w:val="005B710B"/>
    <w:rsid w:val="005C0389"/>
    <w:rsid w:val="005C14CB"/>
    <w:rsid w:val="005C200D"/>
    <w:rsid w:val="005C5140"/>
    <w:rsid w:val="005CA897"/>
    <w:rsid w:val="005D1C12"/>
    <w:rsid w:val="005D2FE5"/>
    <w:rsid w:val="005D491F"/>
    <w:rsid w:val="005D7301"/>
    <w:rsid w:val="005E2E6F"/>
    <w:rsid w:val="005E34DF"/>
    <w:rsid w:val="005E4DD6"/>
    <w:rsid w:val="005E5F4A"/>
    <w:rsid w:val="005E70B4"/>
    <w:rsid w:val="005F0CCD"/>
    <w:rsid w:val="005F6E4B"/>
    <w:rsid w:val="00601DC2"/>
    <w:rsid w:val="00605BC5"/>
    <w:rsid w:val="006072AF"/>
    <w:rsid w:val="0060FA24"/>
    <w:rsid w:val="0062585A"/>
    <w:rsid w:val="0062604D"/>
    <w:rsid w:val="0063200A"/>
    <w:rsid w:val="00632D27"/>
    <w:rsid w:val="0063756C"/>
    <w:rsid w:val="006566CA"/>
    <w:rsid w:val="006621CA"/>
    <w:rsid w:val="00664ED9"/>
    <w:rsid w:val="0066549D"/>
    <w:rsid w:val="00675EA4"/>
    <w:rsid w:val="00677AFF"/>
    <w:rsid w:val="00680F4A"/>
    <w:rsid w:val="006820AF"/>
    <w:rsid w:val="00682DDA"/>
    <w:rsid w:val="00684B73"/>
    <w:rsid w:val="006857F8"/>
    <w:rsid w:val="00685F94"/>
    <w:rsid w:val="0068783E"/>
    <w:rsid w:val="00691BAA"/>
    <w:rsid w:val="00691CA7"/>
    <w:rsid w:val="006928CA"/>
    <w:rsid w:val="00692D4F"/>
    <w:rsid w:val="00694B0D"/>
    <w:rsid w:val="006A03C2"/>
    <w:rsid w:val="006A31EF"/>
    <w:rsid w:val="006A7E37"/>
    <w:rsid w:val="006B77E0"/>
    <w:rsid w:val="006C75D9"/>
    <w:rsid w:val="006D5452"/>
    <w:rsid w:val="006D5A4E"/>
    <w:rsid w:val="006D5E58"/>
    <w:rsid w:val="006E2B30"/>
    <w:rsid w:val="006E4850"/>
    <w:rsid w:val="006E5655"/>
    <w:rsid w:val="006E5A90"/>
    <w:rsid w:val="006F18C6"/>
    <w:rsid w:val="006F29EF"/>
    <w:rsid w:val="006F3AEA"/>
    <w:rsid w:val="006F567F"/>
    <w:rsid w:val="0070074C"/>
    <w:rsid w:val="00706400"/>
    <w:rsid w:val="007079B1"/>
    <w:rsid w:val="007079EC"/>
    <w:rsid w:val="00710539"/>
    <w:rsid w:val="007178A2"/>
    <w:rsid w:val="007200F4"/>
    <w:rsid w:val="0072112C"/>
    <w:rsid w:val="00722E52"/>
    <w:rsid w:val="00724244"/>
    <w:rsid w:val="00726891"/>
    <w:rsid w:val="00727841"/>
    <w:rsid w:val="0072FBA4"/>
    <w:rsid w:val="00733121"/>
    <w:rsid w:val="007342FB"/>
    <w:rsid w:val="007447E7"/>
    <w:rsid w:val="00744D3F"/>
    <w:rsid w:val="007475BA"/>
    <w:rsid w:val="00750912"/>
    <w:rsid w:val="00751E5B"/>
    <w:rsid w:val="00752A96"/>
    <w:rsid w:val="00752AA4"/>
    <w:rsid w:val="007569AF"/>
    <w:rsid w:val="0076220A"/>
    <w:rsid w:val="00763479"/>
    <w:rsid w:val="00766002"/>
    <w:rsid w:val="00771160"/>
    <w:rsid w:val="0077217B"/>
    <w:rsid w:val="00772184"/>
    <w:rsid w:val="007771B4"/>
    <w:rsid w:val="00780384"/>
    <w:rsid w:val="007809F4"/>
    <w:rsid w:val="00784461"/>
    <w:rsid w:val="00784B78"/>
    <w:rsid w:val="00785120"/>
    <w:rsid w:val="00787103"/>
    <w:rsid w:val="007A3E43"/>
    <w:rsid w:val="007A4F76"/>
    <w:rsid w:val="007B2088"/>
    <w:rsid w:val="007C2FF1"/>
    <w:rsid w:val="007C3774"/>
    <w:rsid w:val="007C7073"/>
    <w:rsid w:val="007C7E5C"/>
    <w:rsid w:val="007D0976"/>
    <w:rsid w:val="007D41F4"/>
    <w:rsid w:val="007E4F93"/>
    <w:rsid w:val="007F1A0D"/>
    <w:rsid w:val="00801D6F"/>
    <w:rsid w:val="00803C95"/>
    <w:rsid w:val="00804637"/>
    <w:rsid w:val="008052B7"/>
    <w:rsid w:val="0081001C"/>
    <w:rsid w:val="0081203E"/>
    <w:rsid w:val="0081659A"/>
    <w:rsid w:val="00817647"/>
    <w:rsid w:val="008240C9"/>
    <w:rsid w:val="008274CF"/>
    <w:rsid w:val="0082C17C"/>
    <w:rsid w:val="00832097"/>
    <w:rsid w:val="008378E3"/>
    <w:rsid w:val="00843C63"/>
    <w:rsid w:val="00852D34"/>
    <w:rsid w:val="00862AD8"/>
    <w:rsid w:val="00866A1E"/>
    <w:rsid w:val="00870DE7"/>
    <w:rsid w:val="00871BFB"/>
    <w:rsid w:val="00876111"/>
    <w:rsid w:val="00876E00"/>
    <w:rsid w:val="00884092"/>
    <w:rsid w:val="00892B09"/>
    <w:rsid w:val="00895743"/>
    <w:rsid w:val="0089B767"/>
    <w:rsid w:val="008A4532"/>
    <w:rsid w:val="008B286D"/>
    <w:rsid w:val="008B4015"/>
    <w:rsid w:val="008BD406"/>
    <w:rsid w:val="008C10C6"/>
    <w:rsid w:val="008C17AC"/>
    <w:rsid w:val="008C2DCE"/>
    <w:rsid w:val="008C3517"/>
    <w:rsid w:val="008C515E"/>
    <w:rsid w:val="008D157D"/>
    <w:rsid w:val="008D1ACE"/>
    <w:rsid w:val="008D4D39"/>
    <w:rsid w:val="008E0255"/>
    <w:rsid w:val="008E0906"/>
    <w:rsid w:val="008E2FBF"/>
    <w:rsid w:val="008F07D7"/>
    <w:rsid w:val="008F1DF3"/>
    <w:rsid w:val="008F3580"/>
    <w:rsid w:val="008F7FED"/>
    <w:rsid w:val="009007DE"/>
    <w:rsid w:val="00902353"/>
    <w:rsid w:val="00903196"/>
    <w:rsid w:val="00903F41"/>
    <w:rsid w:val="00912C92"/>
    <w:rsid w:val="009138A3"/>
    <w:rsid w:val="00920B2C"/>
    <w:rsid w:val="00932ACF"/>
    <w:rsid w:val="00933CE8"/>
    <w:rsid w:val="00933F2D"/>
    <w:rsid w:val="00943874"/>
    <w:rsid w:val="00947674"/>
    <w:rsid w:val="00947FC4"/>
    <w:rsid w:val="009551D3"/>
    <w:rsid w:val="00955D81"/>
    <w:rsid w:val="0095E081"/>
    <w:rsid w:val="009628A6"/>
    <w:rsid w:val="00962CD1"/>
    <w:rsid w:val="00964B45"/>
    <w:rsid w:val="00964C15"/>
    <w:rsid w:val="00966944"/>
    <w:rsid w:val="009669C5"/>
    <w:rsid w:val="009740A7"/>
    <w:rsid w:val="00974DC7"/>
    <w:rsid w:val="00976DB9"/>
    <w:rsid w:val="00980907"/>
    <w:rsid w:val="00983079"/>
    <w:rsid w:val="00987511"/>
    <w:rsid w:val="009933D6"/>
    <w:rsid w:val="00996C0A"/>
    <w:rsid w:val="009A249B"/>
    <w:rsid w:val="009A5B70"/>
    <w:rsid w:val="009A6CCE"/>
    <w:rsid w:val="009B0905"/>
    <w:rsid w:val="009B3BE1"/>
    <w:rsid w:val="009B4002"/>
    <w:rsid w:val="009B6C79"/>
    <w:rsid w:val="009BA124"/>
    <w:rsid w:val="009C1BA8"/>
    <w:rsid w:val="009C5FF4"/>
    <w:rsid w:val="009C7BFD"/>
    <w:rsid w:val="009CB5A9"/>
    <w:rsid w:val="009D0FED"/>
    <w:rsid w:val="009D5493"/>
    <w:rsid w:val="009D667B"/>
    <w:rsid w:val="009E0421"/>
    <w:rsid w:val="009E225A"/>
    <w:rsid w:val="009F0890"/>
    <w:rsid w:val="009F281C"/>
    <w:rsid w:val="009F7596"/>
    <w:rsid w:val="00A012FF"/>
    <w:rsid w:val="00A02423"/>
    <w:rsid w:val="00A06F55"/>
    <w:rsid w:val="00A13716"/>
    <w:rsid w:val="00A137D9"/>
    <w:rsid w:val="00A2297F"/>
    <w:rsid w:val="00A24DE8"/>
    <w:rsid w:val="00A31CB0"/>
    <w:rsid w:val="00A3280F"/>
    <w:rsid w:val="00A3407B"/>
    <w:rsid w:val="00A35921"/>
    <w:rsid w:val="00A376F4"/>
    <w:rsid w:val="00A41CD9"/>
    <w:rsid w:val="00A4469F"/>
    <w:rsid w:val="00A53AB7"/>
    <w:rsid w:val="00A57E01"/>
    <w:rsid w:val="00A604BB"/>
    <w:rsid w:val="00A65591"/>
    <w:rsid w:val="00A66BF2"/>
    <w:rsid w:val="00A67925"/>
    <w:rsid w:val="00A713E1"/>
    <w:rsid w:val="00A73253"/>
    <w:rsid w:val="00A76023"/>
    <w:rsid w:val="00A7692D"/>
    <w:rsid w:val="00A862F1"/>
    <w:rsid w:val="00A86399"/>
    <w:rsid w:val="00A90E03"/>
    <w:rsid w:val="00A92CF2"/>
    <w:rsid w:val="00A93CA3"/>
    <w:rsid w:val="00AA7610"/>
    <w:rsid w:val="00AB5592"/>
    <w:rsid w:val="00AB7AB3"/>
    <w:rsid w:val="00AC2E5F"/>
    <w:rsid w:val="00AC368E"/>
    <w:rsid w:val="00AC5C93"/>
    <w:rsid w:val="00AC6C05"/>
    <w:rsid w:val="00AC7533"/>
    <w:rsid w:val="00AC793B"/>
    <w:rsid w:val="00ACB71A"/>
    <w:rsid w:val="00AD0156"/>
    <w:rsid w:val="00AD224B"/>
    <w:rsid w:val="00AD3037"/>
    <w:rsid w:val="00AD4BB1"/>
    <w:rsid w:val="00AD790E"/>
    <w:rsid w:val="00AE2D6D"/>
    <w:rsid w:val="00AE5E96"/>
    <w:rsid w:val="00AE632F"/>
    <w:rsid w:val="00AE6B59"/>
    <w:rsid w:val="00B02152"/>
    <w:rsid w:val="00B021C2"/>
    <w:rsid w:val="00B0376D"/>
    <w:rsid w:val="00B03784"/>
    <w:rsid w:val="00B04ACD"/>
    <w:rsid w:val="00B05938"/>
    <w:rsid w:val="00B07298"/>
    <w:rsid w:val="00B1180A"/>
    <w:rsid w:val="00B11C01"/>
    <w:rsid w:val="00B17836"/>
    <w:rsid w:val="00B25D14"/>
    <w:rsid w:val="00B27FDE"/>
    <w:rsid w:val="00B32847"/>
    <w:rsid w:val="00B406D5"/>
    <w:rsid w:val="00B40DBB"/>
    <w:rsid w:val="00B42E80"/>
    <w:rsid w:val="00B44118"/>
    <w:rsid w:val="00B51CB7"/>
    <w:rsid w:val="00B553F4"/>
    <w:rsid w:val="00B55D28"/>
    <w:rsid w:val="00B668B2"/>
    <w:rsid w:val="00B708FB"/>
    <w:rsid w:val="00B73157"/>
    <w:rsid w:val="00B74764"/>
    <w:rsid w:val="00B76906"/>
    <w:rsid w:val="00B769F7"/>
    <w:rsid w:val="00B8264C"/>
    <w:rsid w:val="00B82F9E"/>
    <w:rsid w:val="00B85FFC"/>
    <w:rsid w:val="00B874F6"/>
    <w:rsid w:val="00B8773F"/>
    <w:rsid w:val="00B94B99"/>
    <w:rsid w:val="00B9504E"/>
    <w:rsid w:val="00BA02C3"/>
    <w:rsid w:val="00BA0583"/>
    <w:rsid w:val="00BA2992"/>
    <w:rsid w:val="00BA2C5E"/>
    <w:rsid w:val="00BB0A1A"/>
    <w:rsid w:val="00BB0C46"/>
    <w:rsid w:val="00BB2B8C"/>
    <w:rsid w:val="00BB6FE3"/>
    <w:rsid w:val="00BBDCCE"/>
    <w:rsid w:val="00BC3739"/>
    <w:rsid w:val="00BD070E"/>
    <w:rsid w:val="00BD12C1"/>
    <w:rsid w:val="00BD172B"/>
    <w:rsid w:val="00BD1793"/>
    <w:rsid w:val="00BD1E27"/>
    <w:rsid w:val="00BF07E3"/>
    <w:rsid w:val="00BF1D77"/>
    <w:rsid w:val="00BF212A"/>
    <w:rsid w:val="00C029BA"/>
    <w:rsid w:val="00C0875A"/>
    <w:rsid w:val="00C11515"/>
    <w:rsid w:val="00C1696B"/>
    <w:rsid w:val="00C20400"/>
    <w:rsid w:val="00C20787"/>
    <w:rsid w:val="00C226F7"/>
    <w:rsid w:val="00C2698E"/>
    <w:rsid w:val="00C27BE7"/>
    <w:rsid w:val="00C32AB0"/>
    <w:rsid w:val="00C32C17"/>
    <w:rsid w:val="00C32E82"/>
    <w:rsid w:val="00C36677"/>
    <w:rsid w:val="00C46251"/>
    <w:rsid w:val="00C46751"/>
    <w:rsid w:val="00C56C1D"/>
    <w:rsid w:val="00C62B11"/>
    <w:rsid w:val="00C638C9"/>
    <w:rsid w:val="00C64125"/>
    <w:rsid w:val="00C67BD6"/>
    <w:rsid w:val="00C6AFF4"/>
    <w:rsid w:val="00C731B3"/>
    <w:rsid w:val="00C79230"/>
    <w:rsid w:val="00C7FD49"/>
    <w:rsid w:val="00C8250B"/>
    <w:rsid w:val="00C84028"/>
    <w:rsid w:val="00C84B24"/>
    <w:rsid w:val="00C9693B"/>
    <w:rsid w:val="00CA07BD"/>
    <w:rsid w:val="00CA1F3F"/>
    <w:rsid w:val="00CA3FDB"/>
    <w:rsid w:val="00CA4206"/>
    <w:rsid w:val="00CA5013"/>
    <w:rsid w:val="00CA5AC1"/>
    <w:rsid w:val="00CB634B"/>
    <w:rsid w:val="00CB75CB"/>
    <w:rsid w:val="00CC53E1"/>
    <w:rsid w:val="00CC55A7"/>
    <w:rsid w:val="00CCD3FF"/>
    <w:rsid w:val="00CD078A"/>
    <w:rsid w:val="00CD1625"/>
    <w:rsid w:val="00CD26C3"/>
    <w:rsid w:val="00CD7454"/>
    <w:rsid w:val="00CE0794"/>
    <w:rsid w:val="00CE6B61"/>
    <w:rsid w:val="00CE7404"/>
    <w:rsid w:val="00CE9CF3"/>
    <w:rsid w:val="00CF48C5"/>
    <w:rsid w:val="00CF770A"/>
    <w:rsid w:val="00D05431"/>
    <w:rsid w:val="00D06210"/>
    <w:rsid w:val="00D068CA"/>
    <w:rsid w:val="00D11DD5"/>
    <w:rsid w:val="00D16346"/>
    <w:rsid w:val="00D19670"/>
    <w:rsid w:val="00D1AEBC"/>
    <w:rsid w:val="00D226CC"/>
    <w:rsid w:val="00D2AB16"/>
    <w:rsid w:val="00D30736"/>
    <w:rsid w:val="00D34F0A"/>
    <w:rsid w:val="00D36203"/>
    <w:rsid w:val="00D41948"/>
    <w:rsid w:val="00D437B3"/>
    <w:rsid w:val="00D4411A"/>
    <w:rsid w:val="00D44F9E"/>
    <w:rsid w:val="00D53EA1"/>
    <w:rsid w:val="00D5443B"/>
    <w:rsid w:val="00D7EFE1"/>
    <w:rsid w:val="00D80CF0"/>
    <w:rsid w:val="00D8240D"/>
    <w:rsid w:val="00D86762"/>
    <w:rsid w:val="00D92F81"/>
    <w:rsid w:val="00D946DF"/>
    <w:rsid w:val="00D963DE"/>
    <w:rsid w:val="00D973F0"/>
    <w:rsid w:val="00DA4754"/>
    <w:rsid w:val="00DB1CDC"/>
    <w:rsid w:val="00DB1E14"/>
    <w:rsid w:val="00DB6965"/>
    <w:rsid w:val="00DB7290"/>
    <w:rsid w:val="00DC069F"/>
    <w:rsid w:val="00DC2B1B"/>
    <w:rsid w:val="00DC5859"/>
    <w:rsid w:val="00DC5945"/>
    <w:rsid w:val="00DC72B7"/>
    <w:rsid w:val="00DD2F6F"/>
    <w:rsid w:val="00DD33D7"/>
    <w:rsid w:val="00DD3BA6"/>
    <w:rsid w:val="00DD3F80"/>
    <w:rsid w:val="00DD8CBF"/>
    <w:rsid w:val="00DE0F2A"/>
    <w:rsid w:val="00DE14F4"/>
    <w:rsid w:val="00DE19AF"/>
    <w:rsid w:val="00DE3233"/>
    <w:rsid w:val="00DF1ED0"/>
    <w:rsid w:val="00DF6A27"/>
    <w:rsid w:val="00DF6F8F"/>
    <w:rsid w:val="00E000B5"/>
    <w:rsid w:val="00E07CD6"/>
    <w:rsid w:val="00E0C2A5"/>
    <w:rsid w:val="00E11E43"/>
    <w:rsid w:val="00E1470C"/>
    <w:rsid w:val="00E22752"/>
    <w:rsid w:val="00E242DE"/>
    <w:rsid w:val="00E324F8"/>
    <w:rsid w:val="00E33517"/>
    <w:rsid w:val="00E33E7D"/>
    <w:rsid w:val="00E378A3"/>
    <w:rsid w:val="00E526D8"/>
    <w:rsid w:val="00E5504C"/>
    <w:rsid w:val="00E63726"/>
    <w:rsid w:val="00E6612B"/>
    <w:rsid w:val="00E67D93"/>
    <w:rsid w:val="00E87A89"/>
    <w:rsid w:val="00E90B3C"/>
    <w:rsid w:val="00E9334A"/>
    <w:rsid w:val="00E9412C"/>
    <w:rsid w:val="00E95B3F"/>
    <w:rsid w:val="00E96682"/>
    <w:rsid w:val="00EA1CA6"/>
    <w:rsid w:val="00EB2D10"/>
    <w:rsid w:val="00EC1256"/>
    <w:rsid w:val="00EC1EE1"/>
    <w:rsid w:val="00EC434D"/>
    <w:rsid w:val="00ED04F2"/>
    <w:rsid w:val="00ED47FA"/>
    <w:rsid w:val="00ED4AA9"/>
    <w:rsid w:val="00ED5BD5"/>
    <w:rsid w:val="00EE101F"/>
    <w:rsid w:val="00EE5510"/>
    <w:rsid w:val="00EF104F"/>
    <w:rsid w:val="00EF2189"/>
    <w:rsid w:val="00EF71D8"/>
    <w:rsid w:val="00EF7579"/>
    <w:rsid w:val="00F02242"/>
    <w:rsid w:val="00F02AFD"/>
    <w:rsid w:val="00F08DF6"/>
    <w:rsid w:val="00F10D56"/>
    <w:rsid w:val="00F11863"/>
    <w:rsid w:val="00F143DD"/>
    <w:rsid w:val="00F1CF81"/>
    <w:rsid w:val="00F22866"/>
    <w:rsid w:val="00F277D9"/>
    <w:rsid w:val="00F30987"/>
    <w:rsid w:val="00F33D7A"/>
    <w:rsid w:val="00F3662E"/>
    <w:rsid w:val="00F37E1F"/>
    <w:rsid w:val="00F4B924"/>
    <w:rsid w:val="00F54237"/>
    <w:rsid w:val="00F557EB"/>
    <w:rsid w:val="00F61B05"/>
    <w:rsid w:val="00F63F70"/>
    <w:rsid w:val="00F6675A"/>
    <w:rsid w:val="00F67211"/>
    <w:rsid w:val="00F723C6"/>
    <w:rsid w:val="00F76A44"/>
    <w:rsid w:val="00F85255"/>
    <w:rsid w:val="00F8577E"/>
    <w:rsid w:val="00F86093"/>
    <w:rsid w:val="00F90B94"/>
    <w:rsid w:val="00F9BBCA"/>
    <w:rsid w:val="00FA11EC"/>
    <w:rsid w:val="00FC0228"/>
    <w:rsid w:val="00FC10B8"/>
    <w:rsid w:val="00FC222E"/>
    <w:rsid w:val="00FC281E"/>
    <w:rsid w:val="00FC32A7"/>
    <w:rsid w:val="00FC4E27"/>
    <w:rsid w:val="00FCB30A"/>
    <w:rsid w:val="00FD3892"/>
    <w:rsid w:val="00FD4E54"/>
    <w:rsid w:val="00FD50D5"/>
    <w:rsid w:val="00FD7570"/>
    <w:rsid w:val="00FD8961"/>
    <w:rsid w:val="00FE02C3"/>
    <w:rsid w:val="00FE3418"/>
    <w:rsid w:val="00FE4448"/>
    <w:rsid w:val="00FE5EC7"/>
    <w:rsid w:val="00FF4FC0"/>
    <w:rsid w:val="00FF6810"/>
    <w:rsid w:val="00FF6C90"/>
    <w:rsid w:val="00FFEE04"/>
    <w:rsid w:val="0103B09D"/>
    <w:rsid w:val="010575F3"/>
    <w:rsid w:val="0107A4E3"/>
    <w:rsid w:val="010A7304"/>
    <w:rsid w:val="010D3EFE"/>
    <w:rsid w:val="010F1C8B"/>
    <w:rsid w:val="011098B0"/>
    <w:rsid w:val="01142EAB"/>
    <w:rsid w:val="01150838"/>
    <w:rsid w:val="011E44A2"/>
    <w:rsid w:val="011E6BBE"/>
    <w:rsid w:val="011F8E56"/>
    <w:rsid w:val="01214927"/>
    <w:rsid w:val="0122957E"/>
    <w:rsid w:val="0123AD05"/>
    <w:rsid w:val="0128EBC0"/>
    <w:rsid w:val="012B4CD7"/>
    <w:rsid w:val="012E3D50"/>
    <w:rsid w:val="0130F20E"/>
    <w:rsid w:val="013168EB"/>
    <w:rsid w:val="0134F23D"/>
    <w:rsid w:val="0134FFAD"/>
    <w:rsid w:val="013969BD"/>
    <w:rsid w:val="013C905E"/>
    <w:rsid w:val="013D5891"/>
    <w:rsid w:val="013F2C0D"/>
    <w:rsid w:val="0141FFF3"/>
    <w:rsid w:val="0142467A"/>
    <w:rsid w:val="0145B2D5"/>
    <w:rsid w:val="0146467C"/>
    <w:rsid w:val="014B1D5C"/>
    <w:rsid w:val="014C5C85"/>
    <w:rsid w:val="014D6845"/>
    <w:rsid w:val="0152EB2C"/>
    <w:rsid w:val="0156C683"/>
    <w:rsid w:val="015D6F3F"/>
    <w:rsid w:val="015D71C3"/>
    <w:rsid w:val="015F72B5"/>
    <w:rsid w:val="015F95C8"/>
    <w:rsid w:val="016498A9"/>
    <w:rsid w:val="01673C3C"/>
    <w:rsid w:val="0167788F"/>
    <w:rsid w:val="016810CB"/>
    <w:rsid w:val="016B6729"/>
    <w:rsid w:val="0172F34A"/>
    <w:rsid w:val="01730157"/>
    <w:rsid w:val="01736E58"/>
    <w:rsid w:val="01762A7E"/>
    <w:rsid w:val="01777D87"/>
    <w:rsid w:val="01781FE8"/>
    <w:rsid w:val="01796FDE"/>
    <w:rsid w:val="017A5A4B"/>
    <w:rsid w:val="0183A03F"/>
    <w:rsid w:val="018B1BC1"/>
    <w:rsid w:val="0190BA0B"/>
    <w:rsid w:val="01916EAD"/>
    <w:rsid w:val="01967643"/>
    <w:rsid w:val="0197CD0B"/>
    <w:rsid w:val="019BB072"/>
    <w:rsid w:val="019CBDE1"/>
    <w:rsid w:val="019FF139"/>
    <w:rsid w:val="01A1E425"/>
    <w:rsid w:val="01A50842"/>
    <w:rsid w:val="01AB4521"/>
    <w:rsid w:val="01AD1F2A"/>
    <w:rsid w:val="01B1EC80"/>
    <w:rsid w:val="01B7E1DF"/>
    <w:rsid w:val="01B8E22A"/>
    <w:rsid w:val="01B8FD39"/>
    <w:rsid w:val="01BACF94"/>
    <w:rsid w:val="01BAFAAF"/>
    <w:rsid w:val="01C31061"/>
    <w:rsid w:val="01C675C3"/>
    <w:rsid w:val="01CA4939"/>
    <w:rsid w:val="01CAD8CE"/>
    <w:rsid w:val="01CB5241"/>
    <w:rsid w:val="01CC71F6"/>
    <w:rsid w:val="01CDDF88"/>
    <w:rsid w:val="01CEE2AE"/>
    <w:rsid w:val="01CFA355"/>
    <w:rsid w:val="01D91369"/>
    <w:rsid w:val="01DD5F0E"/>
    <w:rsid w:val="01DD86CB"/>
    <w:rsid w:val="01DE99B0"/>
    <w:rsid w:val="01DFADB4"/>
    <w:rsid w:val="01E3583A"/>
    <w:rsid w:val="01E8F4A5"/>
    <w:rsid w:val="01F5C2B1"/>
    <w:rsid w:val="01F63BA4"/>
    <w:rsid w:val="02008FB1"/>
    <w:rsid w:val="02024866"/>
    <w:rsid w:val="02032860"/>
    <w:rsid w:val="020350F1"/>
    <w:rsid w:val="02047184"/>
    <w:rsid w:val="0209860A"/>
    <w:rsid w:val="021ED99E"/>
    <w:rsid w:val="0222583F"/>
    <w:rsid w:val="02260895"/>
    <w:rsid w:val="022A2296"/>
    <w:rsid w:val="022C9906"/>
    <w:rsid w:val="022F1034"/>
    <w:rsid w:val="022FC7ED"/>
    <w:rsid w:val="0230290C"/>
    <w:rsid w:val="0230CF12"/>
    <w:rsid w:val="023903D5"/>
    <w:rsid w:val="0239F9B1"/>
    <w:rsid w:val="0245529B"/>
    <w:rsid w:val="0247CE1F"/>
    <w:rsid w:val="0248B03A"/>
    <w:rsid w:val="024A0DF8"/>
    <w:rsid w:val="024A4C90"/>
    <w:rsid w:val="024BC21B"/>
    <w:rsid w:val="024CCA86"/>
    <w:rsid w:val="02510499"/>
    <w:rsid w:val="02514026"/>
    <w:rsid w:val="02549337"/>
    <w:rsid w:val="025686F5"/>
    <w:rsid w:val="02592ED2"/>
    <w:rsid w:val="0259CBE0"/>
    <w:rsid w:val="025DC505"/>
    <w:rsid w:val="025E50E9"/>
    <w:rsid w:val="025FE118"/>
    <w:rsid w:val="02612229"/>
    <w:rsid w:val="0261353B"/>
    <w:rsid w:val="02664339"/>
    <w:rsid w:val="0267BCD4"/>
    <w:rsid w:val="026A0011"/>
    <w:rsid w:val="026CA017"/>
    <w:rsid w:val="02764CDA"/>
    <w:rsid w:val="02770DA4"/>
    <w:rsid w:val="0277F9C0"/>
    <w:rsid w:val="028C225F"/>
    <w:rsid w:val="028C7B62"/>
    <w:rsid w:val="0291CDB0"/>
    <w:rsid w:val="029436A8"/>
    <w:rsid w:val="0297A6ED"/>
    <w:rsid w:val="029A0ACA"/>
    <w:rsid w:val="029F26E6"/>
    <w:rsid w:val="02A00748"/>
    <w:rsid w:val="02A459C7"/>
    <w:rsid w:val="02A7E4CF"/>
    <w:rsid w:val="02AF99A1"/>
    <w:rsid w:val="02B174E8"/>
    <w:rsid w:val="02B3C73D"/>
    <w:rsid w:val="02B59FF6"/>
    <w:rsid w:val="02BBEAA4"/>
    <w:rsid w:val="02C06DB5"/>
    <w:rsid w:val="02C8DF08"/>
    <w:rsid w:val="02C930A2"/>
    <w:rsid w:val="02CC4176"/>
    <w:rsid w:val="02CF0F3F"/>
    <w:rsid w:val="02CF4D90"/>
    <w:rsid w:val="02D07540"/>
    <w:rsid w:val="02D20769"/>
    <w:rsid w:val="02D29FED"/>
    <w:rsid w:val="02D5005E"/>
    <w:rsid w:val="02D5314D"/>
    <w:rsid w:val="02D642DF"/>
    <w:rsid w:val="02D65F5B"/>
    <w:rsid w:val="02DA414C"/>
    <w:rsid w:val="02DF8165"/>
    <w:rsid w:val="02E019C7"/>
    <w:rsid w:val="02E61826"/>
    <w:rsid w:val="02E95084"/>
    <w:rsid w:val="02EDD80C"/>
    <w:rsid w:val="02F0143B"/>
    <w:rsid w:val="02F4F1C7"/>
    <w:rsid w:val="02F5A834"/>
    <w:rsid w:val="02F94224"/>
    <w:rsid w:val="02FA4784"/>
    <w:rsid w:val="02FAF2F3"/>
    <w:rsid w:val="02FAF9D6"/>
    <w:rsid w:val="02FB5346"/>
    <w:rsid w:val="02FD4557"/>
    <w:rsid w:val="0301DBEF"/>
    <w:rsid w:val="03025C19"/>
    <w:rsid w:val="0306657C"/>
    <w:rsid w:val="030AD6D6"/>
    <w:rsid w:val="031003D2"/>
    <w:rsid w:val="03111700"/>
    <w:rsid w:val="03136FE1"/>
    <w:rsid w:val="03149A04"/>
    <w:rsid w:val="031CAE2A"/>
    <w:rsid w:val="031DAD8D"/>
    <w:rsid w:val="031DD5C6"/>
    <w:rsid w:val="03259265"/>
    <w:rsid w:val="03269D3B"/>
    <w:rsid w:val="032B0BBB"/>
    <w:rsid w:val="032F0475"/>
    <w:rsid w:val="03328161"/>
    <w:rsid w:val="0332AE82"/>
    <w:rsid w:val="0336DAED"/>
    <w:rsid w:val="033BD86C"/>
    <w:rsid w:val="033E9CD9"/>
    <w:rsid w:val="034083AE"/>
    <w:rsid w:val="03412E18"/>
    <w:rsid w:val="03428205"/>
    <w:rsid w:val="0343677F"/>
    <w:rsid w:val="034386EC"/>
    <w:rsid w:val="0346932B"/>
    <w:rsid w:val="034B6711"/>
    <w:rsid w:val="03556E1B"/>
    <w:rsid w:val="035584D0"/>
    <w:rsid w:val="0357B848"/>
    <w:rsid w:val="0361B6E2"/>
    <w:rsid w:val="0362CF62"/>
    <w:rsid w:val="03632070"/>
    <w:rsid w:val="0365692D"/>
    <w:rsid w:val="036E08F2"/>
    <w:rsid w:val="036F0B61"/>
    <w:rsid w:val="036FEB3A"/>
    <w:rsid w:val="03784BD3"/>
    <w:rsid w:val="03788D59"/>
    <w:rsid w:val="0378F4E6"/>
    <w:rsid w:val="037F430F"/>
    <w:rsid w:val="037FC843"/>
    <w:rsid w:val="038007EC"/>
    <w:rsid w:val="03836C9C"/>
    <w:rsid w:val="0386AAF0"/>
    <w:rsid w:val="0387E71F"/>
    <w:rsid w:val="038E45CE"/>
    <w:rsid w:val="0397FE8B"/>
    <w:rsid w:val="039B6B36"/>
    <w:rsid w:val="039DBBF6"/>
    <w:rsid w:val="03A05945"/>
    <w:rsid w:val="03A37CAD"/>
    <w:rsid w:val="03ADD571"/>
    <w:rsid w:val="03B1FB56"/>
    <w:rsid w:val="03B4A22C"/>
    <w:rsid w:val="03B8F17E"/>
    <w:rsid w:val="03BA5B0E"/>
    <w:rsid w:val="03BC5C5B"/>
    <w:rsid w:val="03BDAAFD"/>
    <w:rsid w:val="03BFEE77"/>
    <w:rsid w:val="03C592B1"/>
    <w:rsid w:val="03C6C0C8"/>
    <w:rsid w:val="03C99C58"/>
    <w:rsid w:val="03CB9930"/>
    <w:rsid w:val="03CC7F44"/>
    <w:rsid w:val="03D4EE48"/>
    <w:rsid w:val="03DB9D5B"/>
    <w:rsid w:val="03DD38E9"/>
    <w:rsid w:val="03E33879"/>
    <w:rsid w:val="03E55ACF"/>
    <w:rsid w:val="03E5E2FD"/>
    <w:rsid w:val="03ED5403"/>
    <w:rsid w:val="03F52CD7"/>
    <w:rsid w:val="03F569F0"/>
    <w:rsid w:val="03F57451"/>
    <w:rsid w:val="03FCF6AB"/>
    <w:rsid w:val="03FDB0D7"/>
    <w:rsid w:val="03FF606E"/>
    <w:rsid w:val="0403C87E"/>
    <w:rsid w:val="040E9657"/>
    <w:rsid w:val="04181A95"/>
    <w:rsid w:val="0418E2C0"/>
    <w:rsid w:val="0419D67F"/>
    <w:rsid w:val="04238B22"/>
    <w:rsid w:val="0424121B"/>
    <w:rsid w:val="0426CB3B"/>
    <w:rsid w:val="0428C150"/>
    <w:rsid w:val="042DBD61"/>
    <w:rsid w:val="042FC421"/>
    <w:rsid w:val="0430037A"/>
    <w:rsid w:val="04378EC6"/>
    <w:rsid w:val="0438767B"/>
    <w:rsid w:val="043D7B3B"/>
    <w:rsid w:val="043DBCB7"/>
    <w:rsid w:val="043EADF5"/>
    <w:rsid w:val="04404C8D"/>
    <w:rsid w:val="0441FB08"/>
    <w:rsid w:val="0447F33F"/>
    <w:rsid w:val="04480EF7"/>
    <w:rsid w:val="0448DC18"/>
    <w:rsid w:val="044D5D0E"/>
    <w:rsid w:val="044E270C"/>
    <w:rsid w:val="045D2930"/>
    <w:rsid w:val="045F36AE"/>
    <w:rsid w:val="0463EBA0"/>
    <w:rsid w:val="04648340"/>
    <w:rsid w:val="046515FE"/>
    <w:rsid w:val="046A6725"/>
    <w:rsid w:val="046B6BEC"/>
    <w:rsid w:val="046E86DF"/>
    <w:rsid w:val="046EC30B"/>
    <w:rsid w:val="0475FC94"/>
    <w:rsid w:val="0476D8B1"/>
    <w:rsid w:val="0478FCD1"/>
    <w:rsid w:val="047B19A5"/>
    <w:rsid w:val="047BEA28"/>
    <w:rsid w:val="04864D14"/>
    <w:rsid w:val="048D13EE"/>
    <w:rsid w:val="048D6BC2"/>
    <w:rsid w:val="048D84CE"/>
    <w:rsid w:val="0490204E"/>
    <w:rsid w:val="04947A7D"/>
    <w:rsid w:val="04996DD8"/>
    <w:rsid w:val="049D4C43"/>
    <w:rsid w:val="049EF464"/>
    <w:rsid w:val="049F95C9"/>
    <w:rsid w:val="04A1B7D0"/>
    <w:rsid w:val="04A1DBEF"/>
    <w:rsid w:val="04A23E64"/>
    <w:rsid w:val="04A2A165"/>
    <w:rsid w:val="04A3534A"/>
    <w:rsid w:val="04A3F0BC"/>
    <w:rsid w:val="04A748B3"/>
    <w:rsid w:val="04AED367"/>
    <w:rsid w:val="04B293F6"/>
    <w:rsid w:val="04BD85DE"/>
    <w:rsid w:val="04C5AD89"/>
    <w:rsid w:val="04D0D4B6"/>
    <w:rsid w:val="04D36862"/>
    <w:rsid w:val="04DBBAE5"/>
    <w:rsid w:val="04E1D720"/>
    <w:rsid w:val="04E269B0"/>
    <w:rsid w:val="04E80990"/>
    <w:rsid w:val="04F2C082"/>
    <w:rsid w:val="04F5AF34"/>
    <w:rsid w:val="0504B182"/>
    <w:rsid w:val="050A12F7"/>
    <w:rsid w:val="050B98AD"/>
    <w:rsid w:val="050CDDD7"/>
    <w:rsid w:val="0510E759"/>
    <w:rsid w:val="0514EC5B"/>
    <w:rsid w:val="0518772B"/>
    <w:rsid w:val="051907C6"/>
    <w:rsid w:val="051BEBC9"/>
    <w:rsid w:val="051CE43B"/>
    <w:rsid w:val="051D4D74"/>
    <w:rsid w:val="051DCA3C"/>
    <w:rsid w:val="05218706"/>
    <w:rsid w:val="05307725"/>
    <w:rsid w:val="0531970E"/>
    <w:rsid w:val="0534F892"/>
    <w:rsid w:val="0535A1BF"/>
    <w:rsid w:val="053BA912"/>
    <w:rsid w:val="053D3A49"/>
    <w:rsid w:val="053F518B"/>
    <w:rsid w:val="05422EAA"/>
    <w:rsid w:val="054600DB"/>
    <w:rsid w:val="05509D07"/>
    <w:rsid w:val="0553714B"/>
    <w:rsid w:val="055BA539"/>
    <w:rsid w:val="055DF88A"/>
    <w:rsid w:val="055E09C3"/>
    <w:rsid w:val="056184D4"/>
    <w:rsid w:val="0562AEB2"/>
    <w:rsid w:val="05641B0F"/>
    <w:rsid w:val="0567FC48"/>
    <w:rsid w:val="056853D4"/>
    <w:rsid w:val="056DBC20"/>
    <w:rsid w:val="056EAF5F"/>
    <w:rsid w:val="05702329"/>
    <w:rsid w:val="05713152"/>
    <w:rsid w:val="0572C3E9"/>
    <w:rsid w:val="05754D89"/>
    <w:rsid w:val="05770028"/>
    <w:rsid w:val="05773870"/>
    <w:rsid w:val="0578C06E"/>
    <w:rsid w:val="057E131A"/>
    <w:rsid w:val="057E5218"/>
    <w:rsid w:val="05804106"/>
    <w:rsid w:val="0581226B"/>
    <w:rsid w:val="0588AFCF"/>
    <w:rsid w:val="058AF284"/>
    <w:rsid w:val="0591A9C7"/>
    <w:rsid w:val="05923C09"/>
    <w:rsid w:val="0595A34F"/>
    <w:rsid w:val="05963DDA"/>
    <w:rsid w:val="05987129"/>
    <w:rsid w:val="05A1FA2B"/>
    <w:rsid w:val="05A2EC56"/>
    <w:rsid w:val="05A4763B"/>
    <w:rsid w:val="05A53E2C"/>
    <w:rsid w:val="05AB05B1"/>
    <w:rsid w:val="05B2424B"/>
    <w:rsid w:val="05BF570F"/>
    <w:rsid w:val="05C04DCD"/>
    <w:rsid w:val="05C5E22E"/>
    <w:rsid w:val="05C6396F"/>
    <w:rsid w:val="05C8C64F"/>
    <w:rsid w:val="05CA4ED1"/>
    <w:rsid w:val="05CAA520"/>
    <w:rsid w:val="05D30099"/>
    <w:rsid w:val="05D33481"/>
    <w:rsid w:val="05D40FF7"/>
    <w:rsid w:val="05D89FC2"/>
    <w:rsid w:val="05DC104C"/>
    <w:rsid w:val="05DD52B1"/>
    <w:rsid w:val="05DF99FF"/>
    <w:rsid w:val="05E1A884"/>
    <w:rsid w:val="05E2B5AD"/>
    <w:rsid w:val="05E4AC79"/>
    <w:rsid w:val="05E5E232"/>
    <w:rsid w:val="05EB8E45"/>
    <w:rsid w:val="05F1138E"/>
    <w:rsid w:val="05F2FF79"/>
    <w:rsid w:val="05F440CE"/>
    <w:rsid w:val="05F6283F"/>
    <w:rsid w:val="05F66E60"/>
    <w:rsid w:val="05F8DC1D"/>
    <w:rsid w:val="05FAAA10"/>
    <w:rsid w:val="06034167"/>
    <w:rsid w:val="0604067C"/>
    <w:rsid w:val="060777FC"/>
    <w:rsid w:val="0607B449"/>
    <w:rsid w:val="0608F518"/>
    <w:rsid w:val="060B18DF"/>
    <w:rsid w:val="060D891F"/>
    <w:rsid w:val="060E5F44"/>
    <w:rsid w:val="061112B8"/>
    <w:rsid w:val="0616BB3D"/>
    <w:rsid w:val="0616E9E9"/>
    <w:rsid w:val="0617DCAD"/>
    <w:rsid w:val="0624EFC6"/>
    <w:rsid w:val="06252F72"/>
    <w:rsid w:val="0627FF95"/>
    <w:rsid w:val="062AA178"/>
    <w:rsid w:val="062C949E"/>
    <w:rsid w:val="062D312E"/>
    <w:rsid w:val="06328B87"/>
    <w:rsid w:val="06336586"/>
    <w:rsid w:val="063554D3"/>
    <w:rsid w:val="0637EC41"/>
    <w:rsid w:val="063A384D"/>
    <w:rsid w:val="063DA5F0"/>
    <w:rsid w:val="06407AA7"/>
    <w:rsid w:val="0642D280"/>
    <w:rsid w:val="06445366"/>
    <w:rsid w:val="06476AFB"/>
    <w:rsid w:val="064D15E8"/>
    <w:rsid w:val="064D78AD"/>
    <w:rsid w:val="06501616"/>
    <w:rsid w:val="06573AD6"/>
    <w:rsid w:val="06586E52"/>
    <w:rsid w:val="06590221"/>
    <w:rsid w:val="065D394B"/>
    <w:rsid w:val="065E0D41"/>
    <w:rsid w:val="065F7219"/>
    <w:rsid w:val="06655C34"/>
    <w:rsid w:val="06680BA9"/>
    <w:rsid w:val="067061B2"/>
    <w:rsid w:val="067596B4"/>
    <w:rsid w:val="0677E395"/>
    <w:rsid w:val="0678F108"/>
    <w:rsid w:val="067DA781"/>
    <w:rsid w:val="0683DAE8"/>
    <w:rsid w:val="0683DDC6"/>
    <w:rsid w:val="06849AA6"/>
    <w:rsid w:val="0684AEAE"/>
    <w:rsid w:val="0687E9D4"/>
    <w:rsid w:val="0688A054"/>
    <w:rsid w:val="068F65EA"/>
    <w:rsid w:val="069CD34F"/>
    <w:rsid w:val="069D407E"/>
    <w:rsid w:val="06A13344"/>
    <w:rsid w:val="06A153B8"/>
    <w:rsid w:val="06A47763"/>
    <w:rsid w:val="06A545E9"/>
    <w:rsid w:val="06AA5CCD"/>
    <w:rsid w:val="06AD8D31"/>
    <w:rsid w:val="06AF05C0"/>
    <w:rsid w:val="06AF74CF"/>
    <w:rsid w:val="06B43547"/>
    <w:rsid w:val="06B44E1B"/>
    <w:rsid w:val="06C47B55"/>
    <w:rsid w:val="06C5E94B"/>
    <w:rsid w:val="06C75599"/>
    <w:rsid w:val="06CC25E3"/>
    <w:rsid w:val="06CC8DF4"/>
    <w:rsid w:val="06CFF56E"/>
    <w:rsid w:val="06D99F0F"/>
    <w:rsid w:val="06DA80AF"/>
    <w:rsid w:val="06DB29B5"/>
    <w:rsid w:val="06DC49F2"/>
    <w:rsid w:val="06E14EFB"/>
    <w:rsid w:val="06E2FE0D"/>
    <w:rsid w:val="06E4A07B"/>
    <w:rsid w:val="06E94588"/>
    <w:rsid w:val="06ED8D63"/>
    <w:rsid w:val="06EF2E8C"/>
    <w:rsid w:val="06F3B69B"/>
    <w:rsid w:val="06F44FC2"/>
    <w:rsid w:val="06F620AB"/>
    <w:rsid w:val="06FA1B68"/>
    <w:rsid w:val="06FF7037"/>
    <w:rsid w:val="070364C2"/>
    <w:rsid w:val="07052B34"/>
    <w:rsid w:val="0706E34D"/>
    <w:rsid w:val="0709D4B3"/>
    <w:rsid w:val="070A5B37"/>
    <w:rsid w:val="070B2096"/>
    <w:rsid w:val="070B5A54"/>
    <w:rsid w:val="070DAF9D"/>
    <w:rsid w:val="0714E011"/>
    <w:rsid w:val="071676E5"/>
    <w:rsid w:val="071B3704"/>
    <w:rsid w:val="0723200D"/>
    <w:rsid w:val="0725030C"/>
    <w:rsid w:val="0726A0CF"/>
    <w:rsid w:val="072AADB9"/>
    <w:rsid w:val="072C77D1"/>
    <w:rsid w:val="072D7A28"/>
    <w:rsid w:val="0731BD70"/>
    <w:rsid w:val="07327F63"/>
    <w:rsid w:val="0732E9DE"/>
    <w:rsid w:val="073C2BEF"/>
    <w:rsid w:val="073C5472"/>
    <w:rsid w:val="073F8C11"/>
    <w:rsid w:val="0740831C"/>
    <w:rsid w:val="074F0991"/>
    <w:rsid w:val="07505AF9"/>
    <w:rsid w:val="0751EAF1"/>
    <w:rsid w:val="07541AE8"/>
    <w:rsid w:val="075540DD"/>
    <w:rsid w:val="0758FE56"/>
    <w:rsid w:val="075DF4B1"/>
    <w:rsid w:val="07607715"/>
    <w:rsid w:val="076250B8"/>
    <w:rsid w:val="07657107"/>
    <w:rsid w:val="07709404"/>
    <w:rsid w:val="07723746"/>
    <w:rsid w:val="077595AC"/>
    <w:rsid w:val="077F41F5"/>
    <w:rsid w:val="0785CD6D"/>
    <w:rsid w:val="0791CAA9"/>
    <w:rsid w:val="0792761A"/>
    <w:rsid w:val="0792D60F"/>
    <w:rsid w:val="07974D4E"/>
    <w:rsid w:val="079BA035"/>
    <w:rsid w:val="079E68DC"/>
    <w:rsid w:val="07A0670D"/>
    <w:rsid w:val="07A2B717"/>
    <w:rsid w:val="07A33036"/>
    <w:rsid w:val="07A3E8BA"/>
    <w:rsid w:val="07A578A3"/>
    <w:rsid w:val="07A71042"/>
    <w:rsid w:val="07AEE42C"/>
    <w:rsid w:val="07B01D9A"/>
    <w:rsid w:val="07B4B539"/>
    <w:rsid w:val="07B511CD"/>
    <w:rsid w:val="07BBEE7E"/>
    <w:rsid w:val="07C0FA4B"/>
    <w:rsid w:val="07C365BE"/>
    <w:rsid w:val="07C6CCF1"/>
    <w:rsid w:val="07C7096B"/>
    <w:rsid w:val="07CD0082"/>
    <w:rsid w:val="07CDCAF2"/>
    <w:rsid w:val="07D14831"/>
    <w:rsid w:val="07D54BDB"/>
    <w:rsid w:val="07D7250B"/>
    <w:rsid w:val="07E3B100"/>
    <w:rsid w:val="07F024CB"/>
    <w:rsid w:val="07F12107"/>
    <w:rsid w:val="07F640DA"/>
    <w:rsid w:val="07FE738F"/>
    <w:rsid w:val="080010BC"/>
    <w:rsid w:val="080622C9"/>
    <w:rsid w:val="080803C0"/>
    <w:rsid w:val="08080597"/>
    <w:rsid w:val="08088320"/>
    <w:rsid w:val="080A99DA"/>
    <w:rsid w:val="080B4700"/>
    <w:rsid w:val="080FF06D"/>
    <w:rsid w:val="080FFC9E"/>
    <w:rsid w:val="08119AC0"/>
    <w:rsid w:val="0811E152"/>
    <w:rsid w:val="08170831"/>
    <w:rsid w:val="0819A1ED"/>
    <w:rsid w:val="081F7B53"/>
    <w:rsid w:val="0825F089"/>
    <w:rsid w:val="082A7B35"/>
    <w:rsid w:val="082BDD7F"/>
    <w:rsid w:val="08324090"/>
    <w:rsid w:val="0833673E"/>
    <w:rsid w:val="08407060"/>
    <w:rsid w:val="08434C0F"/>
    <w:rsid w:val="08437783"/>
    <w:rsid w:val="0843EE15"/>
    <w:rsid w:val="0845EEF4"/>
    <w:rsid w:val="084CC65B"/>
    <w:rsid w:val="0856C71A"/>
    <w:rsid w:val="0857EA4F"/>
    <w:rsid w:val="0858C1F2"/>
    <w:rsid w:val="085B84E0"/>
    <w:rsid w:val="085D1357"/>
    <w:rsid w:val="08624BD8"/>
    <w:rsid w:val="0864CC30"/>
    <w:rsid w:val="08662F5D"/>
    <w:rsid w:val="08666088"/>
    <w:rsid w:val="08681203"/>
    <w:rsid w:val="08701748"/>
    <w:rsid w:val="08742984"/>
    <w:rsid w:val="0877B19C"/>
    <w:rsid w:val="087B6250"/>
    <w:rsid w:val="087B9C6D"/>
    <w:rsid w:val="088159B3"/>
    <w:rsid w:val="0884B481"/>
    <w:rsid w:val="0886EBC2"/>
    <w:rsid w:val="0888FD0D"/>
    <w:rsid w:val="088DA273"/>
    <w:rsid w:val="088FB5DE"/>
    <w:rsid w:val="0893B6DD"/>
    <w:rsid w:val="08970D88"/>
    <w:rsid w:val="089A31EB"/>
    <w:rsid w:val="08A05BEA"/>
    <w:rsid w:val="08A31355"/>
    <w:rsid w:val="08A4DD16"/>
    <w:rsid w:val="08A62B98"/>
    <w:rsid w:val="08A81075"/>
    <w:rsid w:val="08A8EC0D"/>
    <w:rsid w:val="08A9F748"/>
    <w:rsid w:val="08AF9C59"/>
    <w:rsid w:val="08B09857"/>
    <w:rsid w:val="08B3270A"/>
    <w:rsid w:val="08B49E5C"/>
    <w:rsid w:val="08BF2D0A"/>
    <w:rsid w:val="08C07658"/>
    <w:rsid w:val="08C9327A"/>
    <w:rsid w:val="08CB993F"/>
    <w:rsid w:val="08CDF9D9"/>
    <w:rsid w:val="08D7CF1C"/>
    <w:rsid w:val="08D951D1"/>
    <w:rsid w:val="08DA6587"/>
    <w:rsid w:val="08E1575B"/>
    <w:rsid w:val="08E2E964"/>
    <w:rsid w:val="08E6051A"/>
    <w:rsid w:val="08E67DFA"/>
    <w:rsid w:val="08EB48E8"/>
    <w:rsid w:val="08EBB07C"/>
    <w:rsid w:val="08EE044B"/>
    <w:rsid w:val="08F39968"/>
    <w:rsid w:val="090535F2"/>
    <w:rsid w:val="090D78A7"/>
    <w:rsid w:val="090DA71E"/>
    <w:rsid w:val="090F6179"/>
    <w:rsid w:val="090FE2CE"/>
    <w:rsid w:val="091D1280"/>
    <w:rsid w:val="0924F2FC"/>
    <w:rsid w:val="0928AD75"/>
    <w:rsid w:val="092A8B19"/>
    <w:rsid w:val="092A8E76"/>
    <w:rsid w:val="09312E93"/>
    <w:rsid w:val="093D0DCC"/>
    <w:rsid w:val="093EFFDE"/>
    <w:rsid w:val="09408F1F"/>
    <w:rsid w:val="0943132F"/>
    <w:rsid w:val="09462440"/>
    <w:rsid w:val="0948BA62"/>
    <w:rsid w:val="094E1D2C"/>
    <w:rsid w:val="094E7E14"/>
    <w:rsid w:val="095B1C47"/>
    <w:rsid w:val="095B838D"/>
    <w:rsid w:val="0961DA8E"/>
    <w:rsid w:val="0963F5C4"/>
    <w:rsid w:val="09648313"/>
    <w:rsid w:val="0964DB87"/>
    <w:rsid w:val="096DAAF7"/>
    <w:rsid w:val="09761D5B"/>
    <w:rsid w:val="097E5AC6"/>
    <w:rsid w:val="09801F7C"/>
    <w:rsid w:val="0984F048"/>
    <w:rsid w:val="09852CEC"/>
    <w:rsid w:val="098CD263"/>
    <w:rsid w:val="098DC0C5"/>
    <w:rsid w:val="098E24F7"/>
    <w:rsid w:val="0990A54E"/>
    <w:rsid w:val="0991EB48"/>
    <w:rsid w:val="09947E4F"/>
    <w:rsid w:val="09956D12"/>
    <w:rsid w:val="09967F8B"/>
    <w:rsid w:val="09969FFC"/>
    <w:rsid w:val="099897CA"/>
    <w:rsid w:val="099C7E5D"/>
    <w:rsid w:val="09A12305"/>
    <w:rsid w:val="09A25814"/>
    <w:rsid w:val="09A27337"/>
    <w:rsid w:val="09A2DA4C"/>
    <w:rsid w:val="09A45381"/>
    <w:rsid w:val="09AA02B5"/>
    <w:rsid w:val="09AF0B68"/>
    <w:rsid w:val="09B41AF0"/>
    <w:rsid w:val="09BA5FBD"/>
    <w:rsid w:val="09BA8216"/>
    <w:rsid w:val="09BBBDDD"/>
    <w:rsid w:val="09BCDB99"/>
    <w:rsid w:val="09BCEAB7"/>
    <w:rsid w:val="09BD30AC"/>
    <w:rsid w:val="09BFB97D"/>
    <w:rsid w:val="09C49AF9"/>
    <w:rsid w:val="09C5BC89"/>
    <w:rsid w:val="09D16E79"/>
    <w:rsid w:val="09D17105"/>
    <w:rsid w:val="09D7F739"/>
    <w:rsid w:val="09DB8F4C"/>
    <w:rsid w:val="09E443E2"/>
    <w:rsid w:val="09E4D914"/>
    <w:rsid w:val="09E818EA"/>
    <w:rsid w:val="09F0A171"/>
    <w:rsid w:val="09F0B42D"/>
    <w:rsid w:val="09F2EB5D"/>
    <w:rsid w:val="09F4BA93"/>
    <w:rsid w:val="09F4D491"/>
    <w:rsid w:val="09F7EF41"/>
    <w:rsid w:val="09F94072"/>
    <w:rsid w:val="0A00014D"/>
    <w:rsid w:val="0A03C47F"/>
    <w:rsid w:val="0A04137C"/>
    <w:rsid w:val="0A04A661"/>
    <w:rsid w:val="0A0789ED"/>
    <w:rsid w:val="0A0CA9DD"/>
    <w:rsid w:val="0A0CAB6C"/>
    <w:rsid w:val="0A106830"/>
    <w:rsid w:val="0A11E4A1"/>
    <w:rsid w:val="0A13A971"/>
    <w:rsid w:val="0A14DD3B"/>
    <w:rsid w:val="0A157848"/>
    <w:rsid w:val="0A181B5A"/>
    <w:rsid w:val="0A1B63B3"/>
    <w:rsid w:val="0A214ACF"/>
    <w:rsid w:val="0A23B356"/>
    <w:rsid w:val="0A26F196"/>
    <w:rsid w:val="0A2C790E"/>
    <w:rsid w:val="0A2CC4BA"/>
    <w:rsid w:val="0A2D48D0"/>
    <w:rsid w:val="0A2F48B2"/>
    <w:rsid w:val="0A347CB7"/>
    <w:rsid w:val="0A37BF14"/>
    <w:rsid w:val="0A3D7F53"/>
    <w:rsid w:val="0A3EABF2"/>
    <w:rsid w:val="0A4081F4"/>
    <w:rsid w:val="0A412F09"/>
    <w:rsid w:val="0A429A8B"/>
    <w:rsid w:val="0A42C331"/>
    <w:rsid w:val="0A474357"/>
    <w:rsid w:val="0A480046"/>
    <w:rsid w:val="0A52D226"/>
    <w:rsid w:val="0A56D70B"/>
    <w:rsid w:val="0A5B1161"/>
    <w:rsid w:val="0A5CA199"/>
    <w:rsid w:val="0A621B39"/>
    <w:rsid w:val="0A641893"/>
    <w:rsid w:val="0A64B7F1"/>
    <w:rsid w:val="0A69A90D"/>
    <w:rsid w:val="0A6BB753"/>
    <w:rsid w:val="0A76AACC"/>
    <w:rsid w:val="0A781B0D"/>
    <w:rsid w:val="0A7ABAB1"/>
    <w:rsid w:val="0A7B153B"/>
    <w:rsid w:val="0A86DAE1"/>
    <w:rsid w:val="0A87CCC7"/>
    <w:rsid w:val="0A8AAA30"/>
    <w:rsid w:val="0A90FD0C"/>
    <w:rsid w:val="0A9185F8"/>
    <w:rsid w:val="0A934221"/>
    <w:rsid w:val="0A93769F"/>
    <w:rsid w:val="0A9475DA"/>
    <w:rsid w:val="0A99E8F1"/>
    <w:rsid w:val="0A9B45DA"/>
    <w:rsid w:val="0A9ED59E"/>
    <w:rsid w:val="0A9F0C86"/>
    <w:rsid w:val="0AA36D15"/>
    <w:rsid w:val="0AAB5D23"/>
    <w:rsid w:val="0AADDFB0"/>
    <w:rsid w:val="0AAFFDDD"/>
    <w:rsid w:val="0AB11C75"/>
    <w:rsid w:val="0AB5337D"/>
    <w:rsid w:val="0AB7969F"/>
    <w:rsid w:val="0AB9A5D5"/>
    <w:rsid w:val="0ABD0733"/>
    <w:rsid w:val="0ABD0C28"/>
    <w:rsid w:val="0AC50606"/>
    <w:rsid w:val="0AC72A6E"/>
    <w:rsid w:val="0ACCE666"/>
    <w:rsid w:val="0ACF5768"/>
    <w:rsid w:val="0ACF9725"/>
    <w:rsid w:val="0ACFE525"/>
    <w:rsid w:val="0AD2422B"/>
    <w:rsid w:val="0AD4BB34"/>
    <w:rsid w:val="0AD69FAC"/>
    <w:rsid w:val="0AD75907"/>
    <w:rsid w:val="0ADA0528"/>
    <w:rsid w:val="0ADBA93A"/>
    <w:rsid w:val="0ADF5887"/>
    <w:rsid w:val="0AE089FC"/>
    <w:rsid w:val="0AE142AF"/>
    <w:rsid w:val="0AE61426"/>
    <w:rsid w:val="0AE940B8"/>
    <w:rsid w:val="0AEA81A9"/>
    <w:rsid w:val="0AF8E35E"/>
    <w:rsid w:val="0B03D45D"/>
    <w:rsid w:val="0B044038"/>
    <w:rsid w:val="0B065555"/>
    <w:rsid w:val="0B08AF5C"/>
    <w:rsid w:val="0B09573F"/>
    <w:rsid w:val="0B0A405C"/>
    <w:rsid w:val="0B0B659D"/>
    <w:rsid w:val="0B0BC4EE"/>
    <w:rsid w:val="0B0C16F2"/>
    <w:rsid w:val="0B102FEF"/>
    <w:rsid w:val="0B119318"/>
    <w:rsid w:val="0B15D5A3"/>
    <w:rsid w:val="0B17C3FD"/>
    <w:rsid w:val="0B19C9B3"/>
    <w:rsid w:val="0B1A8311"/>
    <w:rsid w:val="0B1C9774"/>
    <w:rsid w:val="0B1CCC57"/>
    <w:rsid w:val="0B1DD152"/>
    <w:rsid w:val="0B1E2B21"/>
    <w:rsid w:val="0B2A81DE"/>
    <w:rsid w:val="0B2C337A"/>
    <w:rsid w:val="0B31E3D5"/>
    <w:rsid w:val="0B338B81"/>
    <w:rsid w:val="0B34BEE2"/>
    <w:rsid w:val="0B36A639"/>
    <w:rsid w:val="0B37D1E8"/>
    <w:rsid w:val="0B39FA64"/>
    <w:rsid w:val="0B3B0949"/>
    <w:rsid w:val="0B3C7067"/>
    <w:rsid w:val="0B3E5BE3"/>
    <w:rsid w:val="0B3E6B01"/>
    <w:rsid w:val="0B40AF14"/>
    <w:rsid w:val="0B41BBA4"/>
    <w:rsid w:val="0B4E1507"/>
    <w:rsid w:val="0B528054"/>
    <w:rsid w:val="0B53891B"/>
    <w:rsid w:val="0B56457B"/>
    <w:rsid w:val="0B564918"/>
    <w:rsid w:val="0B5E0B2E"/>
    <w:rsid w:val="0B5F6728"/>
    <w:rsid w:val="0B614386"/>
    <w:rsid w:val="0B61BDE1"/>
    <w:rsid w:val="0B670312"/>
    <w:rsid w:val="0B706BB0"/>
    <w:rsid w:val="0B72ED09"/>
    <w:rsid w:val="0B733683"/>
    <w:rsid w:val="0B750939"/>
    <w:rsid w:val="0B75531E"/>
    <w:rsid w:val="0B77545A"/>
    <w:rsid w:val="0B79742A"/>
    <w:rsid w:val="0B79EE5D"/>
    <w:rsid w:val="0B81D799"/>
    <w:rsid w:val="0B834980"/>
    <w:rsid w:val="0B881406"/>
    <w:rsid w:val="0B88F685"/>
    <w:rsid w:val="0B8F402A"/>
    <w:rsid w:val="0B97BEBE"/>
    <w:rsid w:val="0B9BD810"/>
    <w:rsid w:val="0B9F6CC3"/>
    <w:rsid w:val="0BA27D85"/>
    <w:rsid w:val="0BA39AEA"/>
    <w:rsid w:val="0BA4B916"/>
    <w:rsid w:val="0BA6E9ED"/>
    <w:rsid w:val="0BAF0D14"/>
    <w:rsid w:val="0BB12932"/>
    <w:rsid w:val="0BB13A40"/>
    <w:rsid w:val="0BB483B0"/>
    <w:rsid w:val="0BB8F67F"/>
    <w:rsid w:val="0BBA87C1"/>
    <w:rsid w:val="0BC0C7CC"/>
    <w:rsid w:val="0BC2C42E"/>
    <w:rsid w:val="0BC5DA18"/>
    <w:rsid w:val="0BC90FE0"/>
    <w:rsid w:val="0BC93F86"/>
    <w:rsid w:val="0BC99446"/>
    <w:rsid w:val="0BC9CED6"/>
    <w:rsid w:val="0BCB3F27"/>
    <w:rsid w:val="0BD0AF7A"/>
    <w:rsid w:val="0BDE9D1B"/>
    <w:rsid w:val="0BE75073"/>
    <w:rsid w:val="0BEC9FBC"/>
    <w:rsid w:val="0BED1869"/>
    <w:rsid w:val="0BF1C744"/>
    <w:rsid w:val="0BF398BB"/>
    <w:rsid w:val="0BF4D5DB"/>
    <w:rsid w:val="0BF72824"/>
    <w:rsid w:val="0BF79E5A"/>
    <w:rsid w:val="0C00E553"/>
    <w:rsid w:val="0C06D94A"/>
    <w:rsid w:val="0C093645"/>
    <w:rsid w:val="0C0B4808"/>
    <w:rsid w:val="0C0D7369"/>
    <w:rsid w:val="0C0DBD06"/>
    <w:rsid w:val="0C10F367"/>
    <w:rsid w:val="0C111013"/>
    <w:rsid w:val="0C1A7FD6"/>
    <w:rsid w:val="0C1F0B4A"/>
    <w:rsid w:val="0C22107A"/>
    <w:rsid w:val="0C2B02F4"/>
    <w:rsid w:val="0C2C1330"/>
    <w:rsid w:val="0C374975"/>
    <w:rsid w:val="0C39B0FA"/>
    <w:rsid w:val="0C3AC7EC"/>
    <w:rsid w:val="0C3AE51E"/>
    <w:rsid w:val="0C3C68B8"/>
    <w:rsid w:val="0C3F43DD"/>
    <w:rsid w:val="0C450BC7"/>
    <w:rsid w:val="0C45ADB2"/>
    <w:rsid w:val="0C4A0585"/>
    <w:rsid w:val="0C4AFA08"/>
    <w:rsid w:val="0C4F10B2"/>
    <w:rsid w:val="0C51DECE"/>
    <w:rsid w:val="0C55B56B"/>
    <w:rsid w:val="0C55FDFE"/>
    <w:rsid w:val="0C5DCD70"/>
    <w:rsid w:val="0C60940B"/>
    <w:rsid w:val="0C61D78A"/>
    <w:rsid w:val="0C632B8C"/>
    <w:rsid w:val="0C64E2EE"/>
    <w:rsid w:val="0C67C080"/>
    <w:rsid w:val="0C696C42"/>
    <w:rsid w:val="0C6E1C93"/>
    <w:rsid w:val="0C70E74E"/>
    <w:rsid w:val="0C74B833"/>
    <w:rsid w:val="0C75BAC7"/>
    <w:rsid w:val="0C7747FD"/>
    <w:rsid w:val="0C77F8B2"/>
    <w:rsid w:val="0C78E4C7"/>
    <w:rsid w:val="0C7923A7"/>
    <w:rsid w:val="0C807E3D"/>
    <w:rsid w:val="0C819657"/>
    <w:rsid w:val="0C81E9C6"/>
    <w:rsid w:val="0C875A6B"/>
    <w:rsid w:val="0C88C1FB"/>
    <w:rsid w:val="0C89561B"/>
    <w:rsid w:val="0C8AFD85"/>
    <w:rsid w:val="0C980606"/>
    <w:rsid w:val="0C99193F"/>
    <w:rsid w:val="0C9AC5A4"/>
    <w:rsid w:val="0C9C1AEB"/>
    <w:rsid w:val="0C9F3284"/>
    <w:rsid w:val="0CA17676"/>
    <w:rsid w:val="0CA2EB73"/>
    <w:rsid w:val="0CAAE06A"/>
    <w:rsid w:val="0CADF682"/>
    <w:rsid w:val="0CB1A604"/>
    <w:rsid w:val="0CB3DF85"/>
    <w:rsid w:val="0CB4A056"/>
    <w:rsid w:val="0CB4B313"/>
    <w:rsid w:val="0CB8C38F"/>
    <w:rsid w:val="0CC62D70"/>
    <w:rsid w:val="0CC661C0"/>
    <w:rsid w:val="0CD0F1E3"/>
    <w:rsid w:val="0CD3E3E7"/>
    <w:rsid w:val="0CD7E436"/>
    <w:rsid w:val="0CD7FCA8"/>
    <w:rsid w:val="0CD83C51"/>
    <w:rsid w:val="0CDDB6B5"/>
    <w:rsid w:val="0CE05962"/>
    <w:rsid w:val="0CE6C5BD"/>
    <w:rsid w:val="0CE6D403"/>
    <w:rsid w:val="0CE891D2"/>
    <w:rsid w:val="0CEA6483"/>
    <w:rsid w:val="0CEC7307"/>
    <w:rsid w:val="0CED2C2D"/>
    <w:rsid w:val="0CEE2D21"/>
    <w:rsid w:val="0CF02F77"/>
    <w:rsid w:val="0CF0858F"/>
    <w:rsid w:val="0CF3B647"/>
    <w:rsid w:val="0CF6D14C"/>
    <w:rsid w:val="0CFD10C7"/>
    <w:rsid w:val="0CFD6BF8"/>
    <w:rsid w:val="0D072935"/>
    <w:rsid w:val="0D0896ED"/>
    <w:rsid w:val="0D09F6AF"/>
    <w:rsid w:val="0D09FE01"/>
    <w:rsid w:val="0D0EBD4A"/>
    <w:rsid w:val="0D0F5052"/>
    <w:rsid w:val="0D106CA1"/>
    <w:rsid w:val="0D125500"/>
    <w:rsid w:val="0D1426F7"/>
    <w:rsid w:val="0D162195"/>
    <w:rsid w:val="0D168375"/>
    <w:rsid w:val="0D176672"/>
    <w:rsid w:val="0D189331"/>
    <w:rsid w:val="0D229F85"/>
    <w:rsid w:val="0D2B0294"/>
    <w:rsid w:val="0D2BEBBD"/>
    <w:rsid w:val="0D2D7A99"/>
    <w:rsid w:val="0D330824"/>
    <w:rsid w:val="0D358E7A"/>
    <w:rsid w:val="0D37A20F"/>
    <w:rsid w:val="0D3AAB30"/>
    <w:rsid w:val="0D3EE1F7"/>
    <w:rsid w:val="0D49E760"/>
    <w:rsid w:val="0D4A6F96"/>
    <w:rsid w:val="0D4C61D4"/>
    <w:rsid w:val="0D5279E3"/>
    <w:rsid w:val="0D5345CC"/>
    <w:rsid w:val="0D6457A4"/>
    <w:rsid w:val="0D66E7B2"/>
    <w:rsid w:val="0D6A132D"/>
    <w:rsid w:val="0D6BA1F4"/>
    <w:rsid w:val="0D6D600B"/>
    <w:rsid w:val="0D6DFBCB"/>
    <w:rsid w:val="0D7E214F"/>
    <w:rsid w:val="0D7ECA5F"/>
    <w:rsid w:val="0D80072A"/>
    <w:rsid w:val="0D882101"/>
    <w:rsid w:val="0D88B466"/>
    <w:rsid w:val="0D8F2834"/>
    <w:rsid w:val="0D8FDB3D"/>
    <w:rsid w:val="0D93A1E0"/>
    <w:rsid w:val="0D97B0C3"/>
    <w:rsid w:val="0D9814B6"/>
    <w:rsid w:val="0D9A433B"/>
    <w:rsid w:val="0D9AB5B2"/>
    <w:rsid w:val="0D9B4E48"/>
    <w:rsid w:val="0DA1029D"/>
    <w:rsid w:val="0DA1D067"/>
    <w:rsid w:val="0DA506A6"/>
    <w:rsid w:val="0DA62C46"/>
    <w:rsid w:val="0DA797D0"/>
    <w:rsid w:val="0DAB9D04"/>
    <w:rsid w:val="0DB2CA94"/>
    <w:rsid w:val="0DB410CF"/>
    <w:rsid w:val="0DB6A75F"/>
    <w:rsid w:val="0DB955FF"/>
    <w:rsid w:val="0DBB5BA2"/>
    <w:rsid w:val="0DC47BB2"/>
    <w:rsid w:val="0DC5D11A"/>
    <w:rsid w:val="0DC69A2D"/>
    <w:rsid w:val="0DCBCFAB"/>
    <w:rsid w:val="0DCE3ECF"/>
    <w:rsid w:val="0DCE4968"/>
    <w:rsid w:val="0DD10ECA"/>
    <w:rsid w:val="0DD2E216"/>
    <w:rsid w:val="0DD82A94"/>
    <w:rsid w:val="0DD9C24B"/>
    <w:rsid w:val="0DDBDC58"/>
    <w:rsid w:val="0DDE1293"/>
    <w:rsid w:val="0DE2A370"/>
    <w:rsid w:val="0DE58BBC"/>
    <w:rsid w:val="0DE72231"/>
    <w:rsid w:val="0DE92684"/>
    <w:rsid w:val="0DF13598"/>
    <w:rsid w:val="0DF9BC26"/>
    <w:rsid w:val="0DFBF4F5"/>
    <w:rsid w:val="0DFD0F8F"/>
    <w:rsid w:val="0DFD9A43"/>
    <w:rsid w:val="0E062CD3"/>
    <w:rsid w:val="0E0A2460"/>
    <w:rsid w:val="0E0AE40F"/>
    <w:rsid w:val="0E0AF1AF"/>
    <w:rsid w:val="0E0C378B"/>
    <w:rsid w:val="0E0F5953"/>
    <w:rsid w:val="0E1ACAA9"/>
    <w:rsid w:val="0E1BB85D"/>
    <w:rsid w:val="0E1BFC49"/>
    <w:rsid w:val="0E1EA4D3"/>
    <w:rsid w:val="0E24A4EC"/>
    <w:rsid w:val="0E25125B"/>
    <w:rsid w:val="0E2A33C9"/>
    <w:rsid w:val="0E2D6748"/>
    <w:rsid w:val="0E2E4EE7"/>
    <w:rsid w:val="0E30002C"/>
    <w:rsid w:val="0E331EDB"/>
    <w:rsid w:val="0E344786"/>
    <w:rsid w:val="0E38526A"/>
    <w:rsid w:val="0E396B75"/>
    <w:rsid w:val="0E39C0A9"/>
    <w:rsid w:val="0E3B7E19"/>
    <w:rsid w:val="0E4029F5"/>
    <w:rsid w:val="0E416F58"/>
    <w:rsid w:val="0E45C848"/>
    <w:rsid w:val="0E492EF0"/>
    <w:rsid w:val="0E494A07"/>
    <w:rsid w:val="0E4AE706"/>
    <w:rsid w:val="0E54C6A5"/>
    <w:rsid w:val="0E59A444"/>
    <w:rsid w:val="0E5E16F0"/>
    <w:rsid w:val="0E5F0341"/>
    <w:rsid w:val="0E61C400"/>
    <w:rsid w:val="0E639237"/>
    <w:rsid w:val="0E641564"/>
    <w:rsid w:val="0E657415"/>
    <w:rsid w:val="0E6BBB05"/>
    <w:rsid w:val="0E6F556D"/>
    <w:rsid w:val="0E761FE5"/>
    <w:rsid w:val="0E765D07"/>
    <w:rsid w:val="0E768FFE"/>
    <w:rsid w:val="0E799EF1"/>
    <w:rsid w:val="0E79AE2A"/>
    <w:rsid w:val="0E7ACEAE"/>
    <w:rsid w:val="0E7BCD55"/>
    <w:rsid w:val="0E7DE956"/>
    <w:rsid w:val="0E7FBCCA"/>
    <w:rsid w:val="0E7FF84C"/>
    <w:rsid w:val="0E826751"/>
    <w:rsid w:val="0E904943"/>
    <w:rsid w:val="0E92D7F0"/>
    <w:rsid w:val="0E943D59"/>
    <w:rsid w:val="0E94D7C5"/>
    <w:rsid w:val="0E94EB3C"/>
    <w:rsid w:val="0E9B0652"/>
    <w:rsid w:val="0E9ED28C"/>
    <w:rsid w:val="0EA1A917"/>
    <w:rsid w:val="0EA28DF7"/>
    <w:rsid w:val="0EA3DDB9"/>
    <w:rsid w:val="0EA503E3"/>
    <w:rsid w:val="0EAB4A50"/>
    <w:rsid w:val="0EABE4C1"/>
    <w:rsid w:val="0EB46C80"/>
    <w:rsid w:val="0EB5A851"/>
    <w:rsid w:val="0EB687A6"/>
    <w:rsid w:val="0EB70984"/>
    <w:rsid w:val="0EB8C7D6"/>
    <w:rsid w:val="0EBE8EAE"/>
    <w:rsid w:val="0EBEF07D"/>
    <w:rsid w:val="0EBF62AB"/>
    <w:rsid w:val="0EC3B2BF"/>
    <w:rsid w:val="0EC60A84"/>
    <w:rsid w:val="0ECA3E47"/>
    <w:rsid w:val="0ECD0180"/>
    <w:rsid w:val="0ED94059"/>
    <w:rsid w:val="0EDACD8B"/>
    <w:rsid w:val="0EDEE986"/>
    <w:rsid w:val="0EE257A3"/>
    <w:rsid w:val="0EE8651E"/>
    <w:rsid w:val="0EED6563"/>
    <w:rsid w:val="0EEDED9D"/>
    <w:rsid w:val="0EEFDDA8"/>
    <w:rsid w:val="0EF02161"/>
    <w:rsid w:val="0EF202AF"/>
    <w:rsid w:val="0EF6F2DB"/>
    <w:rsid w:val="0EF95620"/>
    <w:rsid w:val="0EF9BF48"/>
    <w:rsid w:val="0EFC5303"/>
    <w:rsid w:val="0F011988"/>
    <w:rsid w:val="0F01B2FB"/>
    <w:rsid w:val="0F03A8C5"/>
    <w:rsid w:val="0F088A48"/>
    <w:rsid w:val="0F0F19D0"/>
    <w:rsid w:val="0F0F6E37"/>
    <w:rsid w:val="0F0FD01E"/>
    <w:rsid w:val="0F11C632"/>
    <w:rsid w:val="0F11ED6F"/>
    <w:rsid w:val="0F167F46"/>
    <w:rsid w:val="0F1E9002"/>
    <w:rsid w:val="0F2B2A4F"/>
    <w:rsid w:val="0F2D0E52"/>
    <w:rsid w:val="0F2D2002"/>
    <w:rsid w:val="0F31216A"/>
    <w:rsid w:val="0F3E1AFE"/>
    <w:rsid w:val="0F3E3636"/>
    <w:rsid w:val="0F3E3B39"/>
    <w:rsid w:val="0F40C0C5"/>
    <w:rsid w:val="0F45BF5F"/>
    <w:rsid w:val="0F463B92"/>
    <w:rsid w:val="0F48D43E"/>
    <w:rsid w:val="0F51077A"/>
    <w:rsid w:val="0F559CF4"/>
    <w:rsid w:val="0F55C76B"/>
    <w:rsid w:val="0F5C642C"/>
    <w:rsid w:val="0F5F8E40"/>
    <w:rsid w:val="0F6052C2"/>
    <w:rsid w:val="0F61090B"/>
    <w:rsid w:val="0F617D6D"/>
    <w:rsid w:val="0F62EBDE"/>
    <w:rsid w:val="0F66FFAC"/>
    <w:rsid w:val="0F68A7F0"/>
    <w:rsid w:val="0F6C5B1F"/>
    <w:rsid w:val="0F6CF8DA"/>
    <w:rsid w:val="0F759654"/>
    <w:rsid w:val="0F80205F"/>
    <w:rsid w:val="0F8098E9"/>
    <w:rsid w:val="0F86EDA6"/>
    <w:rsid w:val="0F89181E"/>
    <w:rsid w:val="0F8AACB1"/>
    <w:rsid w:val="0F932FC5"/>
    <w:rsid w:val="0F955410"/>
    <w:rsid w:val="0F960983"/>
    <w:rsid w:val="0F983E7B"/>
    <w:rsid w:val="0F9A5F06"/>
    <w:rsid w:val="0F9C4AAF"/>
    <w:rsid w:val="0FA057DA"/>
    <w:rsid w:val="0FA35F5A"/>
    <w:rsid w:val="0FA4788E"/>
    <w:rsid w:val="0FA70E59"/>
    <w:rsid w:val="0FAA0706"/>
    <w:rsid w:val="0FAECC62"/>
    <w:rsid w:val="0FB0CCE6"/>
    <w:rsid w:val="0FB92F42"/>
    <w:rsid w:val="0FBACF71"/>
    <w:rsid w:val="0FC3CD19"/>
    <w:rsid w:val="0FC89EDF"/>
    <w:rsid w:val="0FC902A2"/>
    <w:rsid w:val="0FCE2787"/>
    <w:rsid w:val="0FD0B7DC"/>
    <w:rsid w:val="0FD1BFF3"/>
    <w:rsid w:val="0FD40FDB"/>
    <w:rsid w:val="0FD70E4F"/>
    <w:rsid w:val="0FD9A0F4"/>
    <w:rsid w:val="0FE585EF"/>
    <w:rsid w:val="0FEEB35C"/>
    <w:rsid w:val="0FF05BE0"/>
    <w:rsid w:val="0FF4C5C3"/>
    <w:rsid w:val="0FF682AB"/>
    <w:rsid w:val="0FF88F54"/>
    <w:rsid w:val="0FFD0BC8"/>
    <w:rsid w:val="0FFE8566"/>
    <w:rsid w:val="1003A845"/>
    <w:rsid w:val="10055B4D"/>
    <w:rsid w:val="1006C3CE"/>
    <w:rsid w:val="100B87DE"/>
    <w:rsid w:val="100F8A31"/>
    <w:rsid w:val="101656EB"/>
    <w:rsid w:val="101847BA"/>
    <w:rsid w:val="101B3EED"/>
    <w:rsid w:val="101C387B"/>
    <w:rsid w:val="101CCE02"/>
    <w:rsid w:val="101CEBC1"/>
    <w:rsid w:val="101DD3D2"/>
    <w:rsid w:val="1022C9C9"/>
    <w:rsid w:val="1023A195"/>
    <w:rsid w:val="1027E615"/>
    <w:rsid w:val="10307664"/>
    <w:rsid w:val="10323ACD"/>
    <w:rsid w:val="1035761D"/>
    <w:rsid w:val="103AB6B7"/>
    <w:rsid w:val="103B7067"/>
    <w:rsid w:val="103CB53C"/>
    <w:rsid w:val="1040B0A2"/>
    <w:rsid w:val="10452EAE"/>
    <w:rsid w:val="1046D966"/>
    <w:rsid w:val="1047A661"/>
    <w:rsid w:val="1047B393"/>
    <w:rsid w:val="10494F81"/>
    <w:rsid w:val="104D6A22"/>
    <w:rsid w:val="1054B6C3"/>
    <w:rsid w:val="1056C1A8"/>
    <w:rsid w:val="10571EA3"/>
    <w:rsid w:val="106001C1"/>
    <w:rsid w:val="1062262C"/>
    <w:rsid w:val="106F1ED8"/>
    <w:rsid w:val="1071D125"/>
    <w:rsid w:val="10724EEA"/>
    <w:rsid w:val="10732AC8"/>
    <w:rsid w:val="107482F7"/>
    <w:rsid w:val="10765371"/>
    <w:rsid w:val="10768BF3"/>
    <w:rsid w:val="107FE820"/>
    <w:rsid w:val="10826848"/>
    <w:rsid w:val="1083A662"/>
    <w:rsid w:val="10861105"/>
    <w:rsid w:val="1086A8E5"/>
    <w:rsid w:val="10873914"/>
    <w:rsid w:val="1089C9D7"/>
    <w:rsid w:val="108B0FB2"/>
    <w:rsid w:val="108B8E9F"/>
    <w:rsid w:val="108BAF63"/>
    <w:rsid w:val="108BCEA0"/>
    <w:rsid w:val="108CAC02"/>
    <w:rsid w:val="108CF06A"/>
    <w:rsid w:val="108CF2BF"/>
    <w:rsid w:val="10945CC1"/>
    <w:rsid w:val="10975E4B"/>
    <w:rsid w:val="1098ABF3"/>
    <w:rsid w:val="109D0F8D"/>
    <w:rsid w:val="10A860D4"/>
    <w:rsid w:val="10AA776B"/>
    <w:rsid w:val="10AB3E98"/>
    <w:rsid w:val="10AEA062"/>
    <w:rsid w:val="10B1B510"/>
    <w:rsid w:val="10B7C960"/>
    <w:rsid w:val="10BB5966"/>
    <w:rsid w:val="10BF59FF"/>
    <w:rsid w:val="10C0E376"/>
    <w:rsid w:val="10C11630"/>
    <w:rsid w:val="10C2258D"/>
    <w:rsid w:val="10C35499"/>
    <w:rsid w:val="10C5EAC7"/>
    <w:rsid w:val="10C6E8FA"/>
    <w:rsid w:val="10CC185B"/>
    <w:rsid w:val="10CE3C4C"/>
    <w:rsid w:val="10D52A06"/>
    <w:rsid w:val="10D8BBD3"/>
    <w:rsid w:val="10DAC83C"/>
    <w:rsid w:val="10DE1476"/>
    <w:rsid w:val="10E44B92"/>
    <w:rsid w:val="10E586A0"/>
    <w:rsid w:val="10EA0E79"/>
    <w:rsid w:val="10F1F688"/>
    <w:rsid w:val="10F24B44"/>
    <w:rsid w:val="10F859A0"/>
    <w:rsid w:val="10F9A6BF"/>
    <w:rsid w:val="10F9CA04"/>
    <w:rsid w:val="10FC2323"/>
    <w:rsid w:val="10FCB1B1"/>
    <w:rsid w:val="10FE5BAE"/>
    <w:rsid w:val="11041A0F"/>
    <w:rsid w:val="1107809B"/>
    <w:rsid w:val="110BEECC"/>
    <w:rsid w:val="110F0085"/>
    <w:rsid w:val="11124F71"/>
    <w:rsid w:val="1115124A"/>
    <w:rsid w:val="11163924"/>
    <w:rsid w:val="11182045"/>
    <w:rsid w:val="1119BACF"/>
    <w:rsid w:val="112DB742"/>
    <w:rsid w:val="112EC956"/>
    <w:rsid w:val="11313B3F"/>
    <w:rsid w:val="11325E13"/>
    <w:rsid w:val="11332A95"/>
    <w:rsid w:val="1133F3F9"/>
    <w:rsid w:val="1135C09B"/>
    <w:rsid w:val="1136744A"/>
    <w:rsid w:val="11391C72"/>
    <w:rsid w:val="113BC97C"/>
    <w:rsid w:val="113C2EAB"/>
    <w:rsid w:val="113C7990"/>
    <w:rsid w:val="1143BF3D"/>
    <w:rsid w:val="1145098A"/>
    <w:rsid w:val="11509C11"/>
    <w:rsid w:val="1151637C"/>
    <w:rsid w:val="11552B72"/>
    <w:rsid w:val="1155D266"/>
    <w:rsid w:val="11566077"/>
    <w:rsid w:val="115A76A6"/>
    <w:rsid w:val="115AB8D6"/>
    <w:rsid w:val="115B34FB"/>
    <w:rsid w:val="115C72CE"/>
    <w:rsid w:val="11628AF2"/>
    <w:rsid w:val="1163AAA6"/>
    <w:rsid w:val="1164D7B1"/>
    <w:rsid w:val="11687BEF"/>
    <w:rsid w:val="116EF79B"/>
    <w:rsid w:val="11762EDD"/>
    <w:rsid w:val="117BB34F"/>
    <w:rsid w:val="117EC125"/>
    <w:rsid w:val="1182C94F"/>
    <w:rsid w:val="1189177D"/>
    <w:rsid w:val="118A8323"/>
    <w:rsid w:val="118C23B3"/>
    <w:rsid w:val="118D24D6"/>
    <w:rsid w:val="118F36BD"/>
    <w:rsid w:val="11901AA9"/>
    <w:rsid w:val="119052BA"/>
    <w:rsid w:val="11943503"/>
    <w:rsid w:val="11945FB5"/>
    <w:rsid w:val="1198BDC7"/>
    <w:rsid w:val="119E81B6"/>
    <w:rsid w:val="119ED410"/>
    <w:rsid w:val="119ED8F9"/>
    <w:rsid w:val="119EE561"/>
    <w:rsid w:val="11A0AD77"/>
    <w:rsid w:val="11A401AA"/>
    <w:rsid w:val="11A46AF7"/>
    <w:rsid w:val="11AEB91F"/>
    <w:rsid w:val="11B92BDA"/>
    <w:rsid w:val="11BB3E07"/>
    <w:rsid w:val="11BEB796"/>
    <w:rsid w:val="11C042B9"/>
    <w:rsid w:val="11C8EC12"/>
    <w:rsid w:val="11D17505"/>
    <w:rsid w:val="11D1CC1C"/>
    <w:rsid w:val="11DA580F"/>
    <w:rsid w:val="11DC5461"/>
    <w:rsid w:val="11DDADA1"/>
    <w:rsid w:val="11DE0021"/>
    <w:rsid w:val="11E0773D"/>
    <w:rsid w:val="11E0951A"/>
    <w:rsid w:val="11E0D0AC"/>
    <w:rsid w:val="11E34B4E"/>
    <w:rsid w:val="11EBD0BA"/>
    <w:rsid w:val="11EE11D6"/>
    <w:rsid w:val="11F90E54"/>
    <w:rsid w:val="11FAD476"/>
    <w:rsid w:val="11FFC8D5"/>
    <w:rsid w:val="120289D2"/>
    <w:rsid w:val="12051B16"/>
    <w:rsid w:val="1205546F"/>
    <w:rsid w:val="1209C6BF"/>
    <w:rsid w:val="120A6E62"/>
    <w:rsid w:val="120C7077"/>
    <w:rsid w:val="120DAB35"/>
    <w:rsid w:val="1217BDB3"/>
    <w:rsid w:val="12183A3C"/>
    <w:rsid w:val="12197490"/>
    <w:rsid w:val="121D771B"/>
    <w:rsid w:val="121E7834"/>
    <w:rsid w:val="1222492A"/>
    <w:rsid w:val="12279F01"/>
    <w:rsid w:val="12297C64"/>
    <w:rsid w:val="12298C6B"/>
    <w:rsid w:val="122FEA6D"/>
    <w:rsid w:val="12322DEB"/>
    <w:rsid w:val="1233A566"/>
    <w:rsid w:val="1236DA58"/>
    <w:rsid w:val="123BB6CA"/>
    <w:rsid w:val="123DB676"/>
    <w:rsid w:val="123F50DA"/>
    <w:rsid w:val="123F98EE"/>
    <w:rsid w:val="1240EAA4"/>
    <w:rsid w:val="1242BD40"/>
    <w:rsid w:val="124B59E1"/>
    <w:rsid w:val="124D6484"/>
    <w:rsid w:val="124D7A47"/>
    <w:rsid w:val="125245EF"/>
    <w:rsid w:val="12542532"/>
    <w:rsid w:val="1256184F"/>
    <w:rsid w:val="1256B63B"/>
    <w:rsid w:val="125C4819"/>
    <w:rsid w:val="125CF6BC"/>
    <w:rsid w:val="1260FDAA"/>
    <w:rsid w:val="1262452E"/>
    <w:rsid w:val="12632B73"/>
    <w:rsid w:val="126458C6"/>
    <w:rsid w:val="1264C21E"/>
    <w:rsid w:val="126B628C"/>
    <w:rsid w:val="126BC820"/>
    <w:rsid w:val="126D5297"/>
    <w:rsid w:val="126D8C80"/>
    <w:rsid w:val="127B8042"/>
    <w:rsid w:val="127F9BEB"/>
    <w:rsid w:val="128099B3"/>
    <w:rsid w:val="128258E2"/>
    <w:rsid w:val="1282679F"/>
    <w:rsid w:val="12826AD4"/>
    <w:rsid w:val="128D4D74"/>
    <w:rsid w:val="129363DF"/>
    <w:rsid w:val="1293DB7C"/>
    <w:rsid w:val="1296B55B"/>
    <w:rsid w:val="129737F8"/>
    <w:rsid w:val="129D795A"/>
    <w:rsid w:val="129FFC7F"/>
    <w:rsid w:val="12A1500D"/>
    <w:rsid w:val="12A48B23"/>
    <w:rsid w:val="12A4F149"/>
    <w:rsid w:val="12B35428"/>
    <w:rsid w:val="12B83E8A"/>
    <w:rsid w:val="12BC446C"/>
    <w:rsid w:val="12C09887"/>
    <w:rsid w:val="12C0CD4E"/>
    <w:rsid w:val="12C164FD"/>
    <w:rsid w:val="12C17A9B"/>
    <w:rsid w:val="12C2567D"/>
    <w:rsid w:val="12C2B856"/>
    <w:rsid w:val="12C684A9"/>
    <w:rsid w:val="12C83B7C"/>
    <w:rsid w:val="12C9F359"/>
    <w:rsid w:val="12CBFD59"/>
    <w:rsid w:val="12CD4A33"/>
    <w:rsid w:val="12CDD58A"/>
    <w:rsid w:val="12CFEC2C"/>
    <w:rsid w:val="12D3A736"/>
    <w:rsid w:val="12D83F38"/>
    <w:rsid w:val="12D877A6"/>
    <w:rsid w:val="12DDAE28"/>
    <w:rsid w:val="12E026BE"/>
    <w:rsid w:val="12E0D947"/>
    <w:rsid w:val="12E29BE7"/>
    <w:rsid w:val="12E482BF"/>
    <w:rsid w:val="12E9EC0B"/>
    <w:rsid w:val="12EA2B03"/>
    <w:rsid w:val="12EEBEC5"/>
    <w:rsid w:val="12F678B9"/>
    <w:rsid w:val="12FBC569"/>
    <w:rsid w:val="12FEA856"/>
    <w:rsid w:val="130188F6"/>
    <w:rsid w:val="1305BA58"/>
    <w:rsid w:val="130F41A1"/>
    <w:rsid w:val="1310D65A"/>
    <w:rsid w:val="1313E467"/>
    <w:rsid w:val="13162DB3"/>
    <w:rsid w:val="1317A3C2"/>
    <w:rsid w:val="131855D0"/>
    <w:rsid w:val="131BCD16"/>
    <w:rsid w:val="1323B121"/>
    <w:rsid w:val="1326C1C6"/>
    <w:rsid w:val="13279F15"/>
    <w:rsid w:val="1328384F"/>
    <w:rsid w:val="132A0F2A"/>
    <w:rsid w:val="132F54A6"/>
    <w:rsid w:val="13356BC2"/>
    <w:rsid w:val="133EF24A"/>
    <w:rsid w:val="134062A6"/>
    <w:rsid w:val="13443A37"/>
    <w:rsid w:val="13483ADD"/>
    <w:rsid w:val="13488E14"/>
    <w:rsid w:val="134D161B"/>
    <w:rsid w:val="134E2CB7"/>
    <w:rsid w:val="1351C639"/>
    <w:rsid w:val="13563EBB"/>
    <w:rsid w:val="135B34EC"/>
    <w:rsid w:val="135F3E23"/>
    <w:rsid w:val="135FC684"/>
    <w:rsid w:val="1361E885"/>
    <w:rsid w:val="13622DFA"/>
    <w:rsid w:val="136AB64C"/>
    <w:rsid w:val="136B1263"/>
    <w:rsid w:val="136B99E3"/>
    <w:rsid w:val="136D66D0"/>
    <w:rsid w:val="137786B6"/>
    <w:rsid w:val="137CFD8F"/>
    <w:rsid w:val="137E2FAE"/>
    <w:rsid w:val="137E4AB4"/>
    <w:rsid w:val="1380AA53"/>
    <w:rsid w:val="1380C037"/>
    <w:rsid w:val="1382EE65"/>
    <w:rsid w:val="13879B39"/>
    <w:rsid w:val="138A3AEE"/>
    <w:rsid w:val="138F50EF"/>
    <w:rsid w:val="1395141F"/>
    <w:rsid w:val="13999957"/>
    <w:rsid w:val="139DA528"/>
    <w:rsid w:val="13A46F3B"/>
    <w:rsid w:val="13A498C8"/>
    <w:rsid w:val="13A668C1"/>
    <w:rsid w:val="13B8BD27"/>
    <w:rsid w:val="13BAC0D5"/>
    <w:rsid w:val="13BED9D6"/>
    <w:rsid w:val="13C1A9DC"/>
    <w:rsid w:val="13C58640"/>
    <w:rsid w:val="13C70334"/>
    <w:rsid w:val="13C8BFE7"/>
    <w:rsid w:val="13CB7039"/>
    <w:rsid w:val="13D0B122"/>
    <w:rsid w:val="13D342D3"/>
    <w:rsid w:val="13D53341"/>
    <w:rsid w:val="13D943AC"/>
    <w:rsid w:val="13DA6355"/>
    <w:rsid w:val="13DB213B"/>
    <w:rsid w:val="13DC180F"/>
    <w:rsid w:val="13DDA4C6"/>
    <w:rsid w:val="13DE426E"/>
    <w:rsid w:val="13E407F2"/>
    <w:rsid w:val="13EC1DBB"/>
    <w:rsid w:val="13EC2D19"/>
    <w:rsid w:val="13EE8DB8"/>
    <w:rsid w:val="13EFC663"/>
    <w:rsid w:val="13F056BF"/>
    <w:rsid w:val="13F33530"/>
    <w:rsid w:val="13FD4A58"/>
    <w:rsid w:val="1404584E"/>
    <w:rsid w:val="1406CEDE"/>
    <w:rsid w:val="1409A51D"/>
    <w:rsid w:val="140B43A0"/>
    <w:rsid w:val="140BE27C"/>
    <w:rsid w:val="140D6AE1"/>
    <w:rsid w:val="140FC884"/>
    <w:rsid w:val="14111E47"/>
    <w:rsid w:val="14140DA0"/>
    <w:rsid w:val="14143CB8"/>
    <w:rsid w:val="14154222"/>
    <w:rsid w:val="1415BBAD"/>
    <w:rsid w:val="14177386"/>
    <w:rsid w:val="1419251D"/>
    <w:rsid w:val="141A4DEE"/>
    <w:rsid w:val="141B25B1"/>
    <w:rsid w:val="142005C4"/>
    <w:rsid w:val="1421A2D4"/>
    <w:rsid w:val="142824DE"/>
    <w:rsid w:val="142E73E1"/>
    <w:rsid w:val="143190A9"/>
    <w:rsid w:val="14352EF5"/>
    <w:rsid w:val="14398092"/>
    <w:rsid w:val="143DA57B"/>
    <w:rsid w:val="143E1C3F"/>
    <w:rsid w:val="14402E99"/>
    <w:rsid w:val="144226A9"/>
    <w:rsid w:val="144292D4"/>
    <w:rsid w:val="144484C9"/>
    <w:rsid w:val="1445C2C1"/>
    <w:rsid w:val="1449F22E"/>
    <w:rsid w:val="144E3CDE"/>
    <w:rsid w:val="144F5693"/>
    <w:rsid w:val="144FE65D"/>
    <w:rsid w:val="14518C1B"/>
    <w:rsid w:val="1451913D"/>
    <w:rsid w:val="1453788C"/>
    <w:rsid w:val="14538C06"/>
    <w:rsid w:val="1453D4FA"/>
    <w:rsid w:val="14556D28"/>
    <w:rsid w:val="14566480"/>
    <w:rsid w:val="14610FE3"/>
    <w:rsid w:val="146507FF"/>
    <w:rsid w:val="1468195E"/>
    <w:rsid w:val="14697F2B"/>
    <w:rsid w:val="146AA860"/>
    <w:rsid w:val="146D499B"/>
    <w:rsid w:val="146DB0EC"/>
    <w:rsid w:val="146ED4CA"/>
    <w:rsid w:val="14702E3E"/>
    <w:rsid w:val="14713B7C"/>
    <w:rsid w:val="14714B01"/>
    <w:rsid w:val="1472A132"/>
    <w:rsid w:val="147407D2"/>
    <w:rsid w:val="14743AC3"/>
    <w:rsid w:val="1476FB9C"/>
    <w:rsid w:val="1478EF8B"/>
    <w:rsid w:val="147E25F6"/>
    <w:rsid w:val="14828F1C"/>
    <w:rsid w:val="148752F2"/>
    <w:rsid w:val="148A408D"/>
    <w:rsid w:val="148E23F6"/>
    <w:rsid w:val="149174B5"/>
    <w:rsid w:val="1497E6A3"/>
    <w:rsid w:val="1498A995"/>
    <w:rsid w:val="14994FB3"/>
    <w:rsid w:val="149B5B94"/>
    <w:rsid w:val="14A54406"/>
    <w:rsid w:val="14A6E0D0"/>
    <w:rsid w:val="14AE2814"/>
    <w:rsid w:val="14B36CF6"/>
    <w:rsid w:val="14B45C5D"/>
    <w:rsid w:val="14B79D77"/>
    <w:rsid w:val="14BA11AC"/>
    <w:rsid w:val="14BB04E8"/>
    <w:rsid w:val="14BB1382"/>
    <w:rsid w:val="14BF29FD"/>
    <w:rsid w:val="14C8DC4D"/>
    <w:rsid w:val="14CE7D0D"/>
    <w:rsid w:val="14CF8A22"/>
    <w:rsid w:val="14D8CCB5"/>
    <w:rsid w:val="14DD7C51"/>
    <w:rsid w:val="14DD8190"/>
    <w:rsid w:val="14E0AAC2"/>
    <w:rsid w:val="14E1FE27"/>
    <w:rsid w:val="14E31238"/>
    <w:rsid w:val="14E330AC"/>
    <w:rsid w:val="14E56541"/>
    <w:rsid w:val="14E6BB8B"/>
    <w:rsid w:val="14E8E67C"/>
    <w:rsid w:val="14F174D6"/>
    <w:rsid w:val="14F25ACD"/>
    <w:rsid w:val="14F31CC9"/>
    <w:rsid w:val="14F3D13B"/>
    <w:rsid w:val="14F559EA"/>
    <w:rsid w:val="14FD30E8"/>
    <w:rsid w:val="14FD99B7"/>
    <w:rsid w:val="14FDFCC2"/>
    <w:rsid w:val="1504CC8A"/>
    <w:rsid w:val="1506C13E"/>
    <w:rsid w:val="150838FF"/>
    <w:rsid w:val="150A8715"/>
    <w:rsid w:val="150BD7C5"/>
    <w:rsid w:val="150D2B9B"/>
    <w:rsid w:val="151094C1"/>
    <w:rsid w:val="1510AADC"/>
    <w:rsid w:val="151888DC"/>
    <w:rsid w:val="151B4C94"/>
    <w:rsid w:val="1523C7FF"/>
    <w:rsid w:val="1524694D"/>
    <w:rsid w:val="15256154"/>
    <w:rsid w:val="152A5565"/>
    <w:rsid w:val="152A66C4"/>
    <w:rsid w:val="152CDF0F"/>
    <w:rsid w:val="152E9868"/>
    <w:rsid w:val="15310F5D"/>
    <w:rsid w:val="15324A70"/>
    <w:rsid w:val="1532DCD8"/>
    <w:rsid w:val="153B6D59"/>
    <w:rsid w:val="153C97CA"/>
    <w:rsid w:val="153EDA20"/>
    <w:rsid w:val="153F2085"/>
    <w:rsid w:val="1543076D"/>
    <w:rsid w:val="1545260B"/>
    <w:rsid w:val="1545B452"/>
    <w:rsid w:val="15497BD1"/>
    <w:rsid w:val="154B6F76"/>
    <w:rsid w:val="154D1B0E"/>
    <w:rsid w:val="154F9852"/>
    <w:rsid w:val="1550CCB1"/>
    <w:rsid w:val="15539D17"/>
    <w:rsid w:val="1554ABB6"/>
    <w:rsid w:val="15556D58"/>
    <w:rsid w:val="15588385"/>
    <w:rsid w:val="155AAA37"/>
    <w:rsid w:val="155AAED1"/>
    <w:rsid w:val="155C6833"/>
    <w:rsid w:val="155F3FC3"/>
    <w:rsid w:val="156431E5"/>
    <w:rsid w:val="1564AE11"/>
    <w:rsid w:val="1565F743"/>
    <w:rsid w:val="1568A59B"/>
    <w:rsid w:val="15693BFC"/>
    <w:rsid w:val="1569A103"/>
    <w:rsid w:val="156CCA3F"/>
    <w:rsid w:val="1575B18A"/>
    <w:rsid w:val="1575FD8E"/>
    <w:rsid w:val="15787929"/>
    <w:rsid w:val="157E3B20"/>
    <w:rsid w:val="157ECB54"/>
    <w:rsid w:val="157FEA78"/>
    <w:rsid w:val="15814FE8"/>
    <w:rsid w:val="158465D8"/>
    <w:rsid w:val="1584C7B5"/>
    <w:rsid w:val="158B3A65"/>
    <w:rsid w:val="158E5ABC"/>
    <w:rsid w:val="158EFD1F"/>
    <w:rsid w:val="15948A36"/>
    <w:rsid w:val="15980AB7"/>
    <w:rsid w:val="15983A10"/>
    <w:rsid w:val="159CCCBD"/>
    <w:rsid w:val="159D4331"/>
    <w:rsid w:val="15A41015"/>
    <w:rsid w:val="15A661CB"/>
    <w:rsid w:val="15A88F4D"/>
    <w:rsid w:val="15A9379A"/>
    <w:rsid w:val="15A9822E"/>
    <w:rsid w:val="15A98857"/>
    <w:rsid w:val="15AC9C89"/>
    <w:rsid w:val="15B4D4CE"/>
    <w:rsid w:val="15B66BE9"/>
    <w:rsid w:val="15B706CA"/>
    <w:rsid w:val="15B73CAD"/>
    <w:rsid w:val="15BBDE4B"/>
    <w:rsid w:val="15BC60F5"/>
    <w:rsid w:val="15BCF088"/>
    <w:rsid w:val="15C68874"/>
    <w:rsid w:val="15C6B4B5"/>
    <w:rsid w:val="15CA7253"/>
    <w:rsid w:val="15CBD95C"/>
    <w:rsid w:val="15D691C8"/>
    <w:rsid w:val="15D9817F"/>
    <w:rsid w:val="15DD95F7"/>
    <w:rsid w:val="15DDB261"/>
    <w:rsid w:val="15E9AC0D"/>
    <w:rsid w:val="15F26D76"/>
    <w:rsid w:val="15FC0D3B"/>
    <w:rsid w:val="15FC9D09"/>
    <w:rsid w:val="16034131"/>
    <w:rsid w:val="1603E9BF"/>
    <w:rsid w:val="16043039"/>
    <w:rsid w:val="160D18F8"/>
    <w:rsid w:val="16109A80"/>
    <w:rsid w:val="161D9086"/>
    <w:rsid w:val="1621ED66"/>
    <w:rsid w:val="16235CDD"/>
    <w:rsid w:val="1627A0E8"/>
    <w:rsid w:val="1628B0D9"/>
    <w:rsid w:val="162C7BF0"/>
    <w:rsid w:val="16323652"/>
    <w:rsid w:val="16331D84"/>
    <w:rsid w:val="1634316E"/>
    <w:rsid w:val="163A383A"/>
    <w:rsid w:val="163BA38B"/>
    <w:rsid w:val="163E886B"/>
    <w:rsid w:val="1641CCB3"/>
    <w:rsid w:val="1641FBD0"/>
    <w:rsid w:val="1643C13F"/>
    <w:rsid w:val="1649F776"/>
    <w:rsid w:val="164F795B"/>
    <w:rsid w:val="165034FD"/>
    <w:rsid w:val="16535BB0"/>
    <w:rsid w:val="165675C5"/>
    <w:rsid w:val="165EABCC"/>
    <w:rsid w:val="165F4A7D"/>
    <w:rsid w:val="165F94D6"/>
    <w:rsid w:val="165FBFC1"/>
    <w:rsid w:val="1676B9E9"/>
    <w:rsid w:val="1676E570"/>
    <w:rsid w:val="168E7966"/>
    <w:rsid w:val="168E7C79"/>
    <w:rsid w:val="168E93B6"/>
    <w:rsid w:val="1691616C"/>
    <w:rsid w:val="16943E3D"/>
    <w:rsid w:val="169621DB"/>
    <w:rsid w:val="1699D10C"/>
    <w:rsid w:val="169EB507"/>
    <w:rsid w:val="16A3CBB2"/>
    <w:rsid w:val="16A49CE7"/>
    <w:rsid w:val="16AA9D43"/>
    <w:rsid w:val="16AAEB3F"/>
    <w:rsid w:val="16AF09B7"/>
    <w:rsid w:val="16B33092"/>
    <w:rsid w:val="16B3D66D"/>
    <w:rsid w:val="16B8CEBE"/>
    <w:rsid w:val="16BD816D"/>
    <w:rsid w:val="16BD9D51"/>
    <w:rsid w:val="16C04202"/>
    <w:rsid w:val="16C1ADFE"/>
    <w:rsid w:val="16C1E6F0"/>
    <w:rsid w:val="16C5C7FC"/>
    <w:rsid w:val="16C6A0F3"/>
    <w:rsid w:val="16C705DE"/>
    <w:rsid w:val="16C8228C"/>
    <w:rsid w:val="16CB17E9"/>
    <w:rsid w:val="16CBF35E"/>
    <w:rsid w:val="16D14DF0"/>
    <w:rsid w:val="16D16DBF"/>
    <w:rsid w:val="16D2D310"/>
    <w:rsid w:val="16D3CB80"/>
    <w:rsid w:val="16D69FFD"/>
    <w:rsid w:val="16D8245D"/>
    <w:rsid w:val="16DA67DF"/>
    <w:rsid w:val="16DE0983"/>
    <w:rsid w:val="16E19F29"/>
    <w:rsid w:val="16E5B115"/>
    <w:rsid w:val="16E671DB"/>
    <w:rsid w:val="16ECCAD3"/>
    <w:rsid w:val="16FB1024"/>
    <w:rsid w:val="1700F42A"/>
    <w:rsid w:val="170BE941"/>
    <w:rsid w:val="170E543F"/>
    <w:rsid w:val="1710F573"/>
    <w:rsid w:val="17119B06"/>
    <w:rsid w:val="1714B8A6"/>
    <w:rsid w:val="171A4E30"/>
    <w:rsid w:val="171B0673"/>
    <w:rsid w:val="171F3DFB"/>
    <w:rsid w:val="1720ADF8"/>
    <w:rsid w:val="1725F150"/>
    <w:rsid w:val="17287772"/>
    <w:rsid w:val="17293F5E"/>
    <w:rsid w:val="172DC3F2"/>
    <w:rsid w:val="172FC679"/>
    <w:rsid w:val="17375042"/>
    <w:rsid w:val="1738ABC8"/>
    <w:rsid w:val="1738AED3"/>
    <w:rsid w:val="173A9F78"/>
    <w:rsid w:val="17472D2D"/>
    <w:rsid w:val="1748A2A1"/>
    <w:rsid w:val="174962D2"/>
    <w:rsid w:val="174986A1"/>
    <w:rsid w:val="174AE123"/>
    <w:rsid w:val="174E0640"/>
    <w:rsid w:val="1751A4D1"/>
    <w:rsid w:val="175DF772"/>
    <w:rsid w:val="175F5173"/>
    <w:rsid w:val="1760BCE9"/>
    <w:rsid w:val="1761117D"/>
    <w:rsid w:val="176F0158"/>
    <w:rsid w:val="176F99C8"/>
    <w:rsid w:val="176F9C5C"/>
    <w:rsid w:val="17704B82"/>
    <w:rsid w:val="1770E6C7"/>
    <w:rsid w:val="17765564"/>
    <w:rsid w:val="17769644"/>
    <w:rsid w:val="17781C3F"/>
    <w:rsid w:val="17792EB6"/>
    <w:rsid w:val="177B4594"/>
    <w:rsid w:val="177D40C4"/>
    <w:rsid w:val="177DE317"/>
    <w:rsid w:val="177F4DFE"/>
    <w:rsid w:val="1780FDC3"/>
    <w:rsid w:val="17861E08"/>
    <w:rsid w:val="1788FF96"/>
    <w:rsid w:val="17892359"/>
    <w:rsid w:val="178CF671"/>
    <w:rsid w:val="178D1B54"/>
    <w:rsid w:val="178E080A"/>
    <w:rsid w:val="179337F9"/>
    <w:rsid w:val="1793B8CD"/>
    <w:rsid w:val="17965D16"/>
    <w:rsid w:val="17967B71"/>
    <w:rsid w:val="1797238E"/>
    <w:rsid w:val="179723B2"/>
    <w:rsid w:val="179F7379"/>
    <w:rsid w:val="17A0C14E"/>
    <w:rsid w:val="17A1C874"/>
    <w:rsid w:val="17A37CB6"/>
    <w:rsid w:val="17A59C28"/>
    <w:rsid w:val="17A85D1F"/>
    <w:rsid w:val="17B5487B"/>
    <w:rsid w:val="17B5A2F5"/>
    <w:rsid w:val="17B753A2"/>
    <w:rsid w:val="17B8094E"/>
    <w:rsid w:val="17B864D3"/>
    <w:rsid w:val="17BCDE40"/>
    <w:rsid w:val="17C079F6"/>
    <w:rsid w:val="17C8ACFC"/>
    <w:rsid w:val="17D14792"/>
    <w:rsid w:val="17D25872"/>
    <w:rsid w:val="17D4521C"/>
    <w:rsid w:val="17D4AE9F"/>
    <w:rsid w:val="17D6E7B4"/>
    <w:rsid w:val="17E0ABC9"/>
    <w:rsid w:val="17E124F3"/>
    <w:rsid w:val="17E4FBF4"/>
    <w:rsid w:val="17E6F8D1"/>
    <w:rsid w:val="17EA78DC"/>
    <w:rsid w:val="17EB3639"/>
    <w:rsid w:val="17EC367A"/>
    <w:rsid w:val="17EDCE93"/>
    <w:rsid w:val="17F0BC6B"/>
    <w:rsid w:val="17F7EF8C"/>
    <w:rsid w:val="17F88223"/>
    <w:rsid w:val="17F93E9E"/>
    <w:rsid w:val="17FB6537"/>
    <w:rsid w:val="17FED4CF"/>
    <w:rsid w:val="1804229A"/>
    <w:rsid w:val="18061DCF"/>
    <w:rsid w:val="180B30C3"/>
    <w:rsid w:val="180D66A7"/>
    <w:rsid w:val="180D9568"/>
    <w:rsid w:val="180F54E7"/>
    <w:rsid w:val="1811110F"/>
    <w:rsid w:val="1813FD11"/>
    <w:rsid w:val="1817A0DC"/>
    <w:rsid w:val="18185D5A"/>
    <w:rsid w:val="1821CBCB"/>
    <w:rsid w:val="182214CA"/>
    <w:rsid w:val="1822979C"/>
    <w:rsid w:val="1822EF7F"/>
    <w:rsid w:val="18234295"/>
    <w:rsid w:val="182650D2"/>
    <w:rsid w:val="1826BFF3"/>
    <w:rsid w:val="18286289"/>
    <w:rsid w:val="182A4E38"/>
    <w:rsid w:val="182B01C9"/>
    <w:rsid w:val="182D3088"/>
    <w:rsid w:val="1831D956"/>
    <w:rsid w:val="18339A07"/>
    <w:rsid w:val="1833B5CE"/>
    <w:rsid w:val="18346ED1"/>
    <w:rsid w:val="18357464"/>
    <w:rsid w:val="1836FF8F"/>
    <w:rsid w:val="183AAA5D"/>
    <w:rsid w:val="183B2C61"/>
    <w:rsid w:val="183E871D"/>
    <w:rsid w:val="1845FCA3"/>
    <w:rsid w:val="18467599"/>
    <w:rsid w:val="184B4545"/>
    <w:rsid w:val="184C90A4"/>
    <w:rsid w:val="184E6C59"/>
    <w:rsid w:val="1852A80D"/>
    <w:rsid w:val="185450CF"/>
    <w:rsid w:val="185B43DE"/>
    <w:rsid w:val="185F4BC3"/>
    <w:rsid w:val="18602B8A"/>
    <w:rsid w:val="18610F16"/>
    <w:rsid w:val="1864DB9D"/>
    <w:rsid w:val="186A89C9"/>
    <w:rsid w:val="187328BF"/>
    <w:rsid w:val="187618AC"/>
    <w:rsid w:val="187894A7"/>
    <w:rsid w:val="1878C4A7"/>
    <w:rsid w:val="1879E0FB"/>
    <w:rsid w:val="187B8E7E"/>
    <w:rsid w:val="187C4C59"/>
    <w:rsid w:val="187D4092"/>
    <w:rsid w:val="187F79F3"/>
    <w:rsid w:val="187F8E3A"/>
    <w:rsid w:val="1880E56D"/>
    <w:rsid w:val="1885C496"/>
    <w:rsid w:val="1888D852"/>
    <w:rsid w:val="18895240"/>
    <w:rsid w:val="188BD8BD"/>
    <w:rsid w:val="1893FB4C"/>
    <w:rsid w:val="1894FD0A"/>
    <w:rsid w:val="189583D6"/>
    <w:rsid w:val="189A4AC9"/>
    <w:rsid w:val="189D1B6C"/>
    <w:rsid w:val="189DD1F2"/>
    <w:rsid w:val="18A05678"/>
    <w:rsid w:val="18A68D20"/>
    <w:rsid w:val="18A75B59"/>
    <w:rsid w:val="18A7F335"/>
    <w:rsid w:val="18A801F1"/>
    <w:rsid w:val="18AADC0A"/>
    <w:rsid w:val="18AB0A86"/>
    <w:rsid w:val="18ACC5D4"/>
    <w:rsid w:val="18AD2F5C"/>
    <w:rsid w:val="18AE0002"/>
    <w:rsid w:val="18AEA97F"/>
    <w:rsid w:val="18AFBDBB"/>
    <w:rsid w:val="18B04DDF"/>
    <w:rsid w:val="18B2662F"/>
    <w:rsid w:val="18BDA1E3"/>
    <w:rsid w:val="18BDD40E"/>
    <w:rsid w:val="18C3882A"/>
    <w:rsid w:val="18C48688"/>
    <w:rsid w:val="18C66B91"/>
    <w:rsid w:val="18CA30B4"/>
    <w:rsid w:val="18CF5AAC"/>
    <w:rsid w:val="18D399DA"/>
    <w:rsid w:val="18D48FA8"/>
    <w:rsid w:val="18D69A04"/>
    <w:rsid w:val="18D898AC"/>
    <w:rsid w:val="18DF7A4A"/>
    <w:rsid w:val="18DFB48E"/>
    <w:rsid w:val="18E0157D"/>
    <w:rsid w:val="18E50003"/>
    <w:rsid w:val="18E594C2"/>
    <w:rsid w:val="18E6C223"/>
    <w:rsid w:val="18E78B92"/>
    <w:rsid w:val="18EA3728"/>
    <w:rsid w:val="18EC4FFB"/>
    <w:rsid w:val="18EE710D"/>
    <w:rsid w:val="18EFF9B1"/>
    <w:rsid w:val="18FC1202"/>
    <w:rsid w:val="18FD2E31"/>
    <w:rsid w:val="18FD53C2"/>
    <w:rsid w:val="18FEE03E"/>
    <w:rsid w:val="1903BA8E"/>
    <w:rsid w:val="1904074A"/>
    <w:rsid w:val="19051FF9"/>
    <w:rsid w:val="19073508"/>
    <w:rsid w:val="190A682E"/>
    <w:rsid w:val="190AA1C4"/>
    <w:rsid w:val="1910BDB3"/>
    <w:rsid w:val="1911C491"/>
    <w:rsid w:val="19137D4A"/>
    <w:rsid w:val="1914AF19"/>
    <w:rsid w:val="1917D662"/>
    <w:rsid w:val="191FB3E0"/>
    <w:rsid w:val="191FBB5F"/>
    <w:rsid w:val="192559F0"/>
    <w:rsid w:val="192B417C"/>
    <w:rsid w:val="192FDA0B"/>
    <w:rsid w:val="19355EA2"/>
    <w:rsid w:val="19382ADE"/>
    <w:rsid w:val="1938F8B2"/>
    <w:rsid w:val="19396881"/>
    <w:rsid w:val="193D86AF"/>
    <w:rsid w:val="193DB008"/>
    <w:rsid w:val="193F9CEA"/>
    <w:rsid w:val="194317BC"/>
    <w:rsid w:val="19440854"/>
    <w:rsid w:val="194A003C"/>
    <w:rsid w:val="194B085B"/>
    <w:rsid w:val="19517F4D"/>
    <w:rsid w:val="19531223"/>
    <w:rsid w:val="1959A76B"/>
    <w:rsid w:val="195CF006"/>
    <w:rsid w:val="195FA9DD"/>
    <w:rsid w:val="19607B5B"/>
    <w:rsid w:val="19609821"/>
    <w:rsid w:val="19691AEF"/>
    <w:rsid w:val="196BF9E7"/>
    <w:rsid w:val="196CD64B"/>
    <w:rsid w:val="196D0240"/>
    <w:rsid w:val="196F1094"/>
    <w:rsid w:val="1974485A"/>
    <w:rsid w:val="1974905E"/>
    <w:rsid w:val="197BD8A7"/>
    <w:rsid w:val="197FD459"/>
    <w:rsid w:val="19815B1F"/>
    <w:rsid w:val="1982EF06"/>
    <w:rsid w:val="1988D3AE"/>
    <w:rsid w:val="1988E4B6"/>
    <w:rsid w:val="198D2E8F"/>
    <w:rsid w:val="198D82CF"/>
    <w:rsid w:val="1994C4E1"/>
    <w:rsid w:val="1997E0F2"/>
    <w:rsid w:val="199A761D"/>
    <w:rsid w:val="19A04A3C"/>
    <w:rsid w:val="19A68C03"/>
    <w:rsid w:val="19A7570A"/>
    <w:rsid w:val="19A7E4B4"/>
    <w:rsid w:val="19A9A66B"/>
    <w:rsid w:val="19AB89DA"/>
    <w:rsid w:val="19AF359E"/>
    <w:rsid w:val="19B214AF"/>
    <w:rsid w:val="19B30C6E"/>
    <w:rsid w:val="19BA325B"/>
    <w:rsid w:val="19BC2E03"/>
    <w:rsid w:val="19BDE52B"/>
    <w:rsid w:val="19BF9A99"/>
    <w:rsid w:val="19C2417A"/>
    <w:rsid w:val="19C66C34"/>
    <w:rsid w:val="19C94939"/>
    <w:rsid w:val="19D57809"/>
    <w:rsid w:val="19D5C1A4"/>
    <w:rsid w:val="19D9D360"/>
    <w:rsid w:val="19DBA5BA"/>
    <w:rsid w:val="19DCC7D6"/>
    <w:rsid w:val="19E4C64C"/>
    <w:rsid w:val="19E94BAA"/>
    <w:rsid w:val="19E9B974"/>
    <w:rsid w:val="19F55F3E"/>
    <w:rsid w:val="19F6DCA2"/>
    <w:rsid w:val="19F75516"/>
    <w:rsid w:val="1A010E5E"/>
    <w:rsid w:val="1A02F2D7"/>
    <w:rsid w:val="1A042DD1"/>
    <w:rsid w:val="1A04CCDD"/>
    <w:rsid w:val="1A0BA4D1"/>
    <w:rsid w:val="1A0BE925"/>
    <w:rsid w:val="1A0CECF3"/>
    <w:rsid w:val="1A0D0583"/>
    <w:rsid w:val="1A14268D"/>
    <w:rsid w:val="1A148EBD"/>
    <w:rsid w:val="1A15EAC2"/>
    <w:rsid w:val="1A160E87"/>
    <w:rsid w:val="1A17F673"/>
    <w:rsid w:val="1A234C21"/>
    <w:rsid w:val="1A237ADC"/>
    <w:rsid w:val="1A2A7FBC"/>
    <w:rsid w:val="1A2E1B5A"/>
    <w:rsid w:val="1A2F5121"/>
    <w:rsid w:val="1A346041"/>
    <w:rsid w:val="1A364966"/>
    <w:rsid w:val="1A36E63E"/>
    <w:rsid w:val="1A413971"/>
    <w:rsid w:val="1A41E50B"/>
    <w:rsid w:val="1A492F33"/>
    <w:rsid w:val="1A4B01B8"/>
    <w:rsid w:val="1A50919A"/>
    <w:rsid w:val="1A52024A"/>
    <w:rsid w:val="1A55D6C1"/>
    <w:rsid w:val="1A57122D"/>
    <w:rsid w:val="1A586B07"/>
    <w:rsid w:val="1A5ABDD5"/>
    <w:rsid w:val="1A5E9C30"/>
    <w:rsid w:val="1A62DC6A"/>
    <w:rsid w:val="1A641ADA"/>
    <w:rsid w:val="1A655EF5"/>
    <w:rsid w:val="1A65AD5C"/>
    <w:rsid w:val="1A670445"/>
    <w:rsid w:val="1A67084D"/>
    <w:rsid w:val="1A67A2DD"/>
    <w:rsid w:val="1A67F76A"/>
    <w:rsid w:val="1A6C28F7"/>
    <w:rsid w:val="1A6C3B16"/>
    <w:rsid w:val="1A6C9FDE"/>
    <w:rsid w:val="1A744D10"/>
    <w:rsid w:val="1A751E6D"/>
    <w:rsid w:val="1A76D98C"/>
    <w:rsid w:val="1A787245"/>
    <w:rsid w:val="1A793380"/>
    <w:rsid w:val="1A7D212B"/>
    <w:rsid w:val="1A7E584A"/>
    <w:rsid w:val="1A827F4A"/>
    <w:rsid w:val="1A88C8AF"/>
    <w:rsid w:val="1A88DAAD"/>
    <w:rsid w:val="1A8B6913"/>
    <w:rsid w:val="1A8C8C52"/>
    <w:rsid w:val="1A9253EA"/>
    <w:rsid w:val="1A936A7F"/>
    <w:rsid w:val="1A9511E1"/>
    <w:rsid w:val="1A98F933"/>
    <w:rsid w:val="1A997488"/>
    <w:rsid w:val="1A9C42B8"/>
    <w:rsid w:val="1AA362B6"/>
    <w:rsid w:val="1AA39BFA"/>
    <w:rsid w:val="1AA65D50"/>
    <w:rsid w:val="1AA72624"/>
    <w:rsid w:val="1AA81C75"/>
    <w:rsid w:val="1AAA9179"/>
    <w:rsid w:val="1AB3BBCB"/>
    <w:rsid w:val="1AC3B355"/>
    <w:rsid w:val="1AC9650E"/>
    <w:rsid w:val="1AC982FB"/>
    <w:rsid w:val="1ACBAA6C"/>
    <w:rsid w:val="1AD15BEE"/>
    <w:rsid w:val="1AD33F86"/>
    <w:rsid w:val="1AD75AE2"/>
    <w:rsid w:val="1AD79226"/>
    <w:rsid w:val="1ADDA94C"/>
    <w:rsid w:val="1ADDC72E"/>
    <w:rsid w:val="1AE02172"/>
    <w:rsid w:val="1AE600DA"/>
    <w:rsid w:val="1AF0776E"/>
    <w:rsid w:val="1AF92D81"/>
    <w:rsid w:val="1AFC41D3"/>
    <w:rsid w:val="1AFC6531"/>
    <w:rsid w:val="1B00B903"/>
    <w:rsid w:val="1B03BB11"/>
    <w:rsid w:val="1B03F637"/>
    <w:rsid w:val="1B05C0D9"/>
    <w:rsid w:val="1B093CFC"/>
    <w:rsid w:val="1B094365"/>
    <w:rsid w:val="1B09D521"/>
    <w:rsid w:val="1B14B6B3"/>
    <w:rsid w:val="1B15CFFF"/>
    <w:rsid w:val="1B1CD533"/>
    <w:rsid w:val="1B1EF872"/>
    <w:rsid w:val="1B1F5579"/>
    <w:rsid w:val="1B1F928A"/>
    <w:rsid w:val="1B253B17"/>
    <w:rsid w:val="1B26B614"/>
    <w:rsid w:val="1B26C0AC"/>
    <w:rsid w:val="1B279437"/>
    <w:rsid w:val="1B2C2FD2"/>
    <w:rsid w:val="1B2EBDE0"/>
    <w:rsid w:val="1B2FF294"/>
    <w:rsid w:val="1B314FCF"/>
    <w:rsid w:val="1B321CEF"/>
    <w:rsid w:val="1B32FDCD"/>
    <w:rsid w:val="1B336ABF"/>
    <w:rsid w:val="1B3C33B5"/>
    <w:rsid w:val="1B3CA90D"/>
    <w:rsid w:val="1B3F4928"/>
    <w:rsid w:val="1B4A7B4D"/>
    <w:rsid w:val="1B4E96D4"/>
    <w:rsid w:val="1B503CDB"/>
    <w:rsid w:val="1B545655"/>
    <w:rsid w:val="1B54DA5D"/>
    <w:rsid w:val="1B56B38D"/>
    <w:rsid w:val="1B5CF107"/>
    <w:rsid w:val="1B5DADBB"/>
    <w:rsid w:val="1B63457C"/>
    <w:rsid w:val="1B6A70F9"/>
    <w:rsid w:val="1B6AE8DD"/>
    <w:rsid w:val="1B6F50C4"/>
    <w:rsid w:val="1B6F6352"/>
    <w:rsid w:val="1B71BFDE"/>
    <w:rsid w:val="1B7B266F"/>
    <w:rsid w:val="1B838E89"/>
    <w:rsid w:val="1B84344E"/>
    <w:rsid w:val="1B8530AD"/>
    <w:rsid w:val="1B87610C"/>
    <w:rsid w:val="1B87F23E"/>
    <w:rsid w:val="1B895977"/>
    <w:rsid w:val="1B941821"/>
    <w:rsid w:val="1B96FF27"/>
    <w:rsid w:val="1B9A0679"/>
    <w:rsid w:val="1B9A9730"/>
    <w:rsid w:val="1B9AD99E"/>
    <w:rsid w:val="1B9EDE66"/>
    <w:rsid w:val="1B9F682A"/>
    <w:rsid w:val="1B9F7C30"/>
    <w:rsid w:val="1B9F8ADD"/>
    <w:rsid w:val="1BA5F2B9"/>
    <w:rsid w:val="1BAF4FB0"/>
    <w:rsid w:val="1BB4EC30"/>
    <w:rsid w:val="1BB760FA"/>
    <w:rsid w:val="1BBDA72C"/>
    <w:rsid w:val="1BBDAE1B"/>
    <w:rsid w:val="1BBEAF09"/>
    <w:rsid w:val="1BBEF4BB"/>
    <w:rsid w:val="1BC5A6A3"/>
    <w:rsid w:val="1BC890FF"/>
    <w:rsid w:val="1BCAE903"/>
    <w:rsid w:val="1BCBE3CC"/>
    <w:rsid w:val="1BCED9F6"/>
    <w:rsid w:val="1BD27CB7"/>
    <w:rsid w:val="1BD47401"/>
    <w:rsid w:val="1BD60E0A"/>
    <w:rsid w:val="1BD91CD4"/>
    <w:rsid w:val="1BDA152C"/>
    <w:rsid w:val="1BDE2DE2"/>
    <w:rsid w:val="1BE5AFB6"/>
    <w:rsid w:val="1BE84F7D"/>
    <w:rsid w:val="1BEC3B10"/>
    <w:rsid w:val="1BEFB8E4"/>
    <w:rsid w:val="1BF07E81"/>
    <w:rsid w:val="1BF25670"/>
    <w:rsid w:val="1BF33860"/>
    <w:rsid w:val="1BFBD019"/>
    <w:rsid w:val="1BFEBF15"/>
    <w:rsid w:val="1BFEC330"/>
    <w:rsid w:val="1BFF71FC"/>
    <w:rsid w:val="1C02965D"/>
    <w:rsid w:val="1C0307CF"/>
    <w:rsid w:val="1C041D2B"/>
    <w:rsid w:val="1C05A12A"/>
    <w:rsid w:val="1C05DF46"/>
    <w:rsid w:val="1C06F002"/>
    <w:rsid w:val="1C0D27BF"/>
    <w:rsid w:val="1C129937"/>
    <w:rsid w:val="1C12E16F"/>
    <w:rsid w:val="1C15A923"/>
    <w:rsid w:val="1C172C0D"/>
    <w:rsid w:val="1C209CCC"/>
    <w:rsid w:val="1C274795"/>
    <w:rsid w:val="1C2E8C02"/>
    <w:rsid w:val="1C305330"/>
    <w:rsid w:val="1C32E532"/>
    <w:rsid w:val="1C35E609"/>
    <w:rsid w:val="1C3961F8"/>
    <w:rsid w:val="1C3CBE0D"/>
    <w:rsid w:val="1C3D739E"/>
    <w:rsid w:val="1C3DF793"/>
    <w:rsid w:val="1C4295BC"/>
    <w:rsid w:val="1C4C3D18"/>
    <w:rsid w:val="1C502819"/>
    <w:rsid w:val="1C50BFC1"/>
    <w:rsid w:val="1C5208A1"/>
    <w:rsid w:val="1C544067"/>
    <w:rsid w:val="1C54E108"/>
    <w:rsid w:val="1C588AC7"/>
    <w:rsid w:val="1C664E13"/>
    <w:rsid w:val="1C677ACD"/>
    <w:rsid w:val="1C6BD291"/>
    <w:rsid w:val="1C6ECC75"/>
    <w:rsid w:val="1C70F65E"/>
    <w:rsid w:val="1C752771"/>
    <w:rsid w:val="1C766B4A"/>
    <w:rsid w:val="1C77F3F7"/>
    <w:rsid w:val="1C7B9AF2"/>
    <w:rsid w:val="1C7D8FA2"/>
    <w:rsid w:val="1C7FD463"/>
    <w:rsid w:val="1C81020F"/>
    <w:rsid w:val="1C824AFE"/>
    <w:rsid w:val="1C8322F1"/>
    <w:rsid w:val="1C83CD76"/>
    <w:rsid w:val="1C863E74"/>
    <w:rsid w:val="1C883753"/>
    <w:rsid w:val="1C8A9C74"/>
    <w:rsid w:val="1C8F2544"/>
    <w:rsid w:val="1C8FD1B8"/>
    <w:rsid w:val="1C9791D3"/>
    <w:rsid w:val="1CA1FB84"/>
    <w:rsid w:val="1CAE1A89"/>
    <w:rsid w:val="1CAFE9C7"/>
    <w:rsid w:val="1CB20574"/>
    <w:rsid w:val="1CB63823"/>
    <w:rsid w:val="1CBF6CAA"/>
    <w:rsid w:val="1CBFA6BF"/>
    <w:rsid w:val="1CC3F40F"/>
    <w:rsid w:val="1CC60363"/>
    <w:rsid w:val="1CC63CDB"/>
    <w:rsid w:val="1CC78F32"/>
    <w:rsid w:val="1CC8A21F"/>
    <w:rsid w:val="1CC8DF7A"/>
    <w:rsid w:val="1CCC1D9A"/>
    <w:rsid w:val="1CCEC14C"/>
    <w:rsid w:val="1CCF1BB8"/>
    <w:rsid w:val="1CCFED04"/>
    <w:rsid w:val="1CD06427"/>
    <w:rsid w:val="1CD251F6"/>
    <w:rsid w:val="1CD280ED"/>
    <w:rsid w:val="1CD30FD5"/>
    <w:rsid w:val="1CD9DF64"/>
    <w:rsid w:val="1CE0230B"/>
    <w:rsid w:val="1CE12FA8"/>
    <w:rsid w:val="1CEB2B02"/>
    <w:rsid w:val="1CF1941C"/>
    <w:rsid w:val="1CF1A0B0"/>
    <w:rsid w:val="1CF3F861"/>
    <w:rsid w:val="1CF5AFD9"/>
    <w:rsid w:val="1CF6715F"/>
    <w:rsid w:val="1CF9C1F5"/>
    <w:rsid w:val="1D05ED23"/>
    <w:rsid w:val="1D0B20DC"/>
    <w:rsid w:val="1D0B2AED"/>
    <w:rsid w:val="1D0B4D14"/>
    <w:rsid w:val="1D109F7C"/>
    <w:rsid w:val="1D12422F"/>
    <w:rsid w:val="1D1641BE"/>
    <w:rsid w:val="1D193DED"/>
    <w:rsid w:val="1D1AD9FF"/>
    <w:rsid w:val="1D1B40B7"/>
    <w:rsid w:val="1D1E9294"/>
    <w:rsid w:val="1D2001EA"/>
    <w:rsid w:val="1D21F040"/>
    <w:rsid w:val="1D267B4A"/>
    <w:rsid w:val="1D27F455"/>
    <w:rsid w:val="1D2A4D61"/>
    <w:rsid w:val="1D2C0F57"/>
    <w:rsid w:val="1D2CB6BF"/>
    <w:rsid w:val="1D2EF5D8"/>
    <w:rsid w:val="1D316CF8"/>
    <w:rsid w:val="1D32B5C8"/>
    <w:rsid w:val="1D338C2D"/>
    <w:rsid w:val="1D341F78"/>
    <w:rsid w:val="1D35E4C9"/>
    <w:rsid w:val="1D386C1E"/>
    <w:rsid w:val="1D3C73A8"/>
    <w:rsid w:val="1D3D232B"/>
    <w:rsid w:val="1D3FD55F"/>
    <w:rsid w:val="1D3FD687"/>
    <w:rsid w:val="1D467764"/>
    <w:rsid w:val="1D47E05A"/>
    <w:rsid w:val="1D47F672"/>
    <w:rsid w:val="1D485707"/>
    <w:rsid w:val="1D4DC6E0"/>
    <w:rsid w:val="1D4F6386"/>
    <w:rsid w:val="1D52335D"/>
    <w:rsid w:val="1D59B63A"/>
    <w:rsid w:val="1D5A4EA5"/>
    <w:rsid w:val="1D5AE985"/>
    <w:rsid w:val="1D5C0173"/>
    <w:rsid w:val="1D5C8881"/>
    <w:rsid w:val="1D60E3F1"/>
    <w:rsid w:val="1D686285"/>
    <w:rsid w:val="1D699AB9"/>
    <w:rsid w:val="1D69F495"/>
    <w:rsid w:val="1D6B3260"/>
    <w:rsid w:val="1D73AA0F"/>
    <w:rsid w:val="1D7448EA"/>
    <w:rsid w:val="1D76580D"/>
    <w:rsid w:val="1D778002"/>
    <w:rsid w:val="1D879A29"/>
    <w:rsid w:val="1D8A244C"/>
    <w:rsid w:val="1D91E82A"/>
    <w:rsid w:val="1D925AEC"/>
    <w:rsid w:val="1D96562F"/>
    <w:rsid w:val="1D97CE07"/>
    <w:rsid w:val="1D9BABAC"/>
    <w:rsid w:val="1DA03DD0"/>
    <w:rsid w:val="1DA1718B"/>
    <w:rsid w:val="1DA19E51"/>
    <w:rsid w:val="1DA21934"/>
    <w:rsid w:val="1DA295FF"/>
    <w:rsid w:val="1DA4626A"/>
    <w:rsid w:val="1DAA0B27"/>
    <w:rsid w:val="1DAADF48"/>
    <w:rsid w:val="1DAC56AA"/>
    <w:rsid w:val="1DB037DC"/>
    <w:rsid w:val="1DB3F946"/>
    <w:rsid w:val="1DB40EF7"/>
    <w:rsid w:val="1DB41E56"/>
    <w:rsid w:val="1DB4811E"/>
    <w:rsid w:val="1DB7960E"/>
    <w:rsid w:val="1DB8075B"/>
    <w:rsid w:val="1DBEFB43"/>
    <w:rsid w:val="1DC0ED79"/>
    <w:rsid w:val="1DC5C4BF"/>
    <w:rsid w:val="1DCB2C8D"/>
    <w:rsid w:val="1DCCB2A3"/>
    <w:rsid w:val="1DCD70AE"/>
    <w:rsid w:val="1DCF8A7E"/>
    <w:rsid w:val="1DD16E59"/>
    <w:rsid w:val="1DD7525A"/>
    <w:rsid w:val="1DDE452B"/>
    <w:rsid w:val="1DDE7400"/>
    <w:rsid w:val="1DE04A3C"/>
    <w:rsid w:val="1DEB4785"/>
    <w:rsid w:val="1DEB6E13"/>
    <w:rsid w:val="1DEC21EA"/>
    <w:rsid w:val="1DECEEE6"/>
    <w:rsid w:val="1DEF2160"/>
    <w:rsid w:val="1DF16AFA"/>
    <w:rsid w:val="1DF209DF"/>
    <w:rsid w:val="1DF4611F"/>
    <w:rsid w:val="1DFADBB1"/>
    <w:rsid w:val="1DFE5489"/>
    <w:rsid w:val="1DFF9327"/>
    <w:rsid w:val="1E0280A5"/>
    <w:rsid w:val="1E04DB62"/>
    <w:rsid w:val="1E078EF3"/>
    <w:rsid w:val="1E08BE2B"/>
    <w:rsid w:val="1E08F207"/>
    <w:rsid w:val="1E093DE6"/>
    <w:rsid w:val="1E09FC03"/>
    <w:rsid w:val="1E0A544E"/>
    <w:rsid w:val="1E0DC415"/>
    <w:rsid w:val="1E111BBD"/>
    <w:rsid w:val="1E122E25"/>
    <w:rsid w:val="1E160A1D"/>
    <w:rsid w:val="1E199831"/>
    <w:rsid w:val="1E1B7196"/>
    <w:rsid w:val="1E1CDFFA"/>
    <w:rsid w:val="1E1F4DA3"/>
    <w:rsid w:val="1E220172"/>
    <w:rsid w:val="1E229808"/>
    <w:rsid w:val="1E247F51"/>
    <w:rsid w:val="1E25E674"/>
    <w:rsid w:val="1E2860E5"/>
    <w:rsid w:val="1E32F23C"/>
    <w:rsid w:val="1E34CF06"/>
    <w:rsid w:val="1E3603C6"/>
    <w:rsid w:val="1E37BE27"/>
    <w:rsid w:val="1E3AB1A1"/>
    <w:rsid w:val="1E3C583E"/>
    <w:rsid w:val="1E3CE01C"/>
    <w:rsid w:val="1E444103"/>
    <w:rsid w:val="1E444885"/>
    <w:rsid w:val="1E483FD7"/>
    <w:rsid w:val="1E4A8F4B"/>
    <w:rsid w:val="1E4AA837"/>
    <w:rsid w:val="1E4B2D24"/>
    <w:rsid w:val="1E4B7687"/>
    <w:rsid w:val="1E4C4501"/>
    <w:rsid w:val="1E5017CC"/>
    <w:rsid w:val="1E52DBA7"/>
    <w:rsid w:val="1E5C279F"/>
    <w:rsid w:val="1E5E4B2F"/>
    <w:rsid w:val="1E5E616E"/>
    <w:rsid w:val="1E5ECE3C"/>
    <w:rsid w:val="1E5F406C"/>
    <w:rsid w:val="1E62E560"/>
    <w:rsid w:val="1E65417B"/>
    <w:rsid w:val="1E6A2CB4"/>
    <w:rsid w:val="1E6C4A4E"/>
    <w:rsid w:val="1E6E50FD"/>
    <w:rsid w:val="1E6E8E39"/>
    <w:rsid w:val="1E704FB0"/>
    <w:rsid w:val="1E716645"/>
    <w:rsid w:val="1E747CCF"/>
    <w:rsid w:val="1E82C3AE"/>
    <w:rsid w:val="1E83B289"/>
    <w:rsid w:val="1E83EB5E"/>
    <w:rsid w:val="1E86BBD0"/>
    <w:rsid w:val="1E8CC55F"/>
    <w:rsid w:val="1E9586C9"/>
    <w:rsid w:val="1E959256"/>
    <w:rsid w:val="1E9A9ACE"/>
    <w:rsid w:val="1EA071A9"/>
    <w:rsid w:val="1EA5AAE3"/>
    <w:rsid w:val="1EA677CC"/>
    <w:rsid w:val="1EA77D51"/>
    <w:rsid w:val="1EA95AFE"/>
    <w:rsid w:val="1EA99DB3"/>
    <w:rsid w:val="1EAA06E7"/>
    <w:rsid w:val="1EAFA8DB"/>
    <w:rsid w:val="1EB2857B"/>
    <w:rsid w:val="1EB31927"/>
    <w:rsid w:val="1EB7E9A5"/>
    <w:rsid w:val="1EBA5F92"/>
    <w:rsid w:val="1EBA8D62"/>
    <w:rsid w:val="1EBAEEF3"/>
    <w:rsid w:val="1EBC6D29"/>
    <w:rsid w:val="1EC3E97E"/>
    <w:rsid w:val="1EC7FBEF"/>
    <w:rsid w:val="1ECEE07C"/>
    <w:rsid w:val="1ED2FB97"/>
    <w:rsid w:val="1ED44973"/>
    <w:rsid w:val="1ED45084"/>
    <w:rsid w:val="1ED76654"/>
    <w:rsid w:val="1ED910F9"/>
    <w:rsid w:val="1EDAAB7C"/>
    <w:rsid w:val="1EE3B0BB"/>
    <w:rsid w:val="1EE8B252"/>
    <w:rsid w:val="1EEB6796"/>
    <w:rsid w:val="1EEBAE0B"/>
    <w:rsid w:val="1EF1BE43"/>
    <w:rsid w:val="1EF1E4C7"/>
    <w:rsid w:val="1EF76B1C"/>
    <w:rsid w:val="1EF9E72F"/>
    <w:rsid w:val="1EFEDF21"/>
    <w:rsid w:val="1EFF6778"/>
    <w:rsid w:val="1F02B4FF"/>
    <w:rsid w:val="1F04CB98"/>
    <w:rsid w:val="1F053526"/>
    <w:rsid w:val="1F05389D"/>
    <w:rsid w:val="1F07314B"/>
    <w:rsid w:val="1F09D062"/>
    <w:rsid w:val="1F0A6088"/>
    <w:rsid w:val="1F0BE938"/>
    <w:rsid w:val="1F0F9E92"/>
    <w:rsid w:val="1F124329"/>
    <w:rsid w:val="1F169BBB"/>
    <w:rsid w:val="1F1883DE"/>
    <w:rsid w:val="1F19FC20"/>
    <w:rsid w:val="1F1D4C94"/>
    <w:rsid w:val="1F1E43BB"/>
    <w:rsid w:val="1F1FE896"/>
    <w:rsid w:val="1F1FF01D"/>
    <w:rsid w:val="1F2213C2"/>
    <w:rsid w:val="1F298165"/>
    <w:rsid w:val="1F3026CD"/>
    <w:rsid w:val="1F35309A"/>
    <w:rsid w:val="1F3737AC"/>
    <w:rsid w:val="1F3B6C6C"/>
    <w:rsid w:val="1F3BB946"/>
    <w:rsid w:val="1F3CC581"/>
    <w:rsid w:val="1F3E461C"/>
    <w:rsid w:val="1F3FDF45"/>
    <w:rsid w:val="1F41CF68"/>
    <w:rsid w:val="1F474DE7"/>
    <w:rsid w:val="1F485541"/>
    <w:rsid w:val="1F4DB226"/>
    <w:rsid w:val="1F503F88"/>
    <w:rsid w:val="1F55C8AD"/>
    <w:rsid w:val="1F587782"/>
    <w:rsid w:val="1F5DB31A"/>
    <w:rsid w:val="1F5E8FD2"/>
    <w:rsid w:val="1F5F74E3"/>
    <w:rsid w:val="1F5FFF01"/>
    <w:rsid w:val="1F624376"/>
    <w:rsid w:val="1F64A3B0"/>
    <w:rsid w:val="1F688BBD"/>
    <w:rsid w:val="1F6B47A3"/>
    <w:rsid w:val="1F6C4307"/>
    <w:rsid w:val="1F6D09C2"/>
    <w:rsid w:val="1F705BB5"/>
    <w:rsid w:val="1F72831D"/>
    <w:rsid w:val="1F771153"/>
    <w:rsid w:val="1F7975EC"/>
    <w:rsid w:val="1F7E1937"/>
    <w:rsid w:val="1F7F1735"/>
    <w:rsid w:val="1F7F91DE"/>
    <w:rsid w:val="1F81A22F"/>
    <w:rsid w:val="1F81A77A"/>
    <w:rsid w:val="1F85E8EC"/>
    <w:rsid w:val="1F8A8F1A"/>
    <w:rsid w:val="1F8F6130"/>
    <w:rsid w:val="1F938B3D"/>
    <w:rsid w:val="1F997461"/>
    <w:rsid w:val="1F9977EC"/>
    <w:rsid w:val="1F9D9D23"/>
    <w:rsid w:val="1F9EC4F3"/>
    <w:rsid w:val="1FA4E059"/>
    <w:rsid w:val="1FAAAAEC"/>
    <w:rsid w:val="1FAF4D0E"/>
    <w:rsid w:val="1FBD9686"/>
    <w:rsid w:val="1FC0E4CA"/>
    <w:rsid w:val="1FC2C53B"/>
    <w:rsid w:val="1FC90AEF"/>
    <w:rsid w:val="1FC93871"/>
    <w:rsid w:val="1FC96789"/>
    <w:rsid w:val="1FC9788C"/>
    <w:rsid w:val="1FD18378"/>
    <w:rsid w:val="1FD5AF28"/>
    <w:rsid w:val="1FD73D03"/>
    <w:rsid w:val="1FDBCE13"/>
    <w:rsid w:val="1FDEF7C0"/>
    <w:rsid w:val="1FDFCB44"/>
    <w:rsid w:val="1FE8E1E1"/>
    <w:rsid w:val="1FEBEBF9"/>
    <w:rsid w:val="1FEC0266"/>
    <w:rsid w:val="1FEC088F"/>
    <w:rsid w:val="1FEC46D0"/>
    <w:rsid w:val="1FECC304"/>
    <w:rsid w:val="1FEE0EA5"/>
    <w:rsid w:val="1FEED9DB"/>
    <w:rsid w:val="1FEF461D"/>
    <w:rsid w:val="1FF0A154"/>
    <w:rsid w:val="1FF1DDB4"/>
    <w:rsid w:val="1FF3ADC1"/>
    <w:rsid w:val="1FF5F62F"/>
    <w:rsid w:val="1FF62BFF"/>
    <w:rsid w:val="1FF64A7F"/>
    <w:rsid w:val="1FF8AC3A"/>
    <w:rsid w:val="20015097"/>
    <w:rsid w:val="20023429"/>
    <w:rsid w:val="2004DE1E"/>
    <w:rsid w:val="20052B6B"/>
    <w:rsid w:val="2005C96E"/>
    <w:rsid w:val="2007BCCB"/>
    <w:rsid w:val="200C23B6"/>
    <w:rsid w:val="2012AFF3"/>
    <w:rsid w:val="20154327"/>
    <w:rsid w:val="2015C076"/>
    <w:rsid w:val="20188898"/>
    <w:rsid w:val="201A0105"/>
    <w:rsid w:val="201AA301"/>
    <w:rsid w:val="202259AD"/>
    <w:rsid w:val="2022D303"/>
    <w:rsid w:val="20230368"/>
    <w:rsid w:val="202D26AF"/>
    <w:rsid w:val="202D7F9C"/>
    <w:rsid w:val="202EDAC0"/>
    <w:rsid w:val="202EEA87"/>
    <w:rsid w:val="20355A6C"/>
    <w:rsid w:val="203F0FFD"/>
    <w:rsid w:val="2042544C"/>
    <w:rsid w:val="2045F9B4"/>
    <w:rsid w:val="204C0960"/>
    <w:rsid w:val="204ED982"/>
    <w:rsid w:val="2050C5BF"/>
    <w:rsid w:val="20543312"/>
    <w:rsid w:val="2054CEE2"/>
    <w:rsid w:val="205590BA"/>
    <w:rsid w:val="205733C0"/>
    <w:rsid w:val="205D6554"/>
    <w:rsid w:val="205EC654"/>
    <w:rsid w:val="20619182"/>
    <w:rsid w:val="2061D5C0"/>
    <w:rsid w:val="206A1C80"/>
    <w:rsid w:val="206B2CEF"/>
    <w:rsid w:val="206DE3D5"/>
    <w:rsid w:val="2070924B"/>
    <w:rsid w:val="207B378A"/>
    <w:rsid w:val="207BB4B9"/>
    <w:rsid w:val="207FB3B5"/>
    <w:rsid w:val="2084F2E0"/>
    <w:rsid w:val="20850080"/>
    <w:rsid w:val="2085AE75"/>
    <w:rsid w:val="208BC38F"/>
    <w:rsid w:val="208C85C5"/>
    <w:rsid w:val="208D5421"/>
    <w:rsid w:val="20905615"/>
    <w:rsid w:val="209059C8"/>
    <w:rsid w:val="209372C7"/>
    <w:rsid w:val="2095196A"/>
    <w:rsid w:val="2097B296"/>
    <w:rsid w:val="2097CC18"/>
    <w:rsid w:val="2097DD43"/>
    <w:rsid w:val="20994237"/>
    <w:rsid w:val="209AB6BA"/>
    <w:rsid w:val="209BC1F5"/>
    <w:rsid w:val="209F47E9"/>
    <w:rsid w:val="20A8F7DE"/>
    <w:rsid w:val="20AB0431"/>
    <w:rsid w:val="20B09F2B"/>
    <w:rsid w:val="20B2379D"/>
    <w:rsid w:val="20B3F43C"/>
    <w:rsid w:val="20BBD302"/>
    <w:rsid w:val="20BBD9A9"/>
    <w:rsid w:val="20C06E71"/>
    <w:rsid w:val="20C12285"/>
    <w:rsid w:val="20C31857"/>
    <w:rsid w:val="20C57E6B"/>
    <w:rsid w:val="20C582EB"/>
    <w:rsid w:val="20C8778A"/>
    <w:rsid w:val="20CA9412"/>
    <w:rsid w:val="20CBEE53"/>
    <w:rsid w:val="20D32A15"/>
    <w:rsid w:val="20D46847"/>
    <w:rsid w:val="20D65654"/>
    <w:rsid w:val="20D678F2"/>
    <w:rsid w:val="20D6FEFB"/>
    <w:rsid w:val="20D75D7B"/>
    <w:rsid w:val="20DD1E52"/>
    <w:rsid w:val="20DD2016"/>
    <w:rsid w:val="20DF5BA6"/>
    <w:rsid w:val="20E0704C"/>
    <w:rsid w:val="20E1ABE9"/>
    <w:rsid w:val="20E200D5"/>
    <w:rsid w:val="20E211E7"/>
    <w:rsid w:val="20E417A4"/>
    <w:rsid w:val="20E53020"/>
    <w:rsid w:val="20E96B3B"/>
    <w:rsid w:val="20EA21D7"/>
    <w:rsid w:val="20EC4E06"/>
    <w:rsid w:val="20EE76B6"/>
    <w:rsid w:val="20F1DB69"/>
    <w:rsid w:val="20F6769C"/>
    <w:rsid w:val="20FA451E"/>
    <w:rsid w:val="210622B7"/>
    <w:rsid w:val="210636A7"/>
    <w:rsid w:val="21094770"/>
    <w:rsid w:val="210D6D08"/>
    <w:rsid w:val="2111BA19"/>
    <w:rsid w:val="2116ABDD"/>
    <w:rsid w:val="2118F152"/>
    <w:rsid w:val="2119013C"/>
    <w:rsid w:val="211A0A57"/>
    <w:rsid w:val="211B2EA4"/>
    <w:rsid w:val="2120CD13"/>
    <w:rsid w:val="21239AD2"/>
    <w:rsid w:val="2128A01C"/>
    <w:rsid w:val="212DFE7C"/>
    <w:rsid w:val="213210F4"/>
    <w:rsid w:val="2133DD1B"/>
    <w:rsid w:val="213BCE85"/>
    <w:rsid w:val="213E6451"/>
    <w:rsid w:val="2145C432"/>
    <w:rsid w:val="21461A35"/>
    <w:rsid w:val="214A9C18"/>
    <w:rsid w:val="214AD621"/>
    <w:rsid w:val="214AE840"/>
    <w:rsid w:val="214BD5ED"/>
    <w:rsid w:val="21532A73"/>
    <w:rsid w:val="21590E13"/>
    <w:rsid w:val="215CE8C1"/>
    <w:rsid w:val="215F5623"/>
    <w:rsid w:val="21604204"/>
    <w:rsid w:val="2168884E"/>
    <w:rsid w:val="21779524"/>
    <w:rsid w:val="21788ACC"/>
    <w:rsid w:val="21877108"/>
    <w:rsid w:val="219E048A"/>
    <w:rsid w:val="21A00AC7"/>
    <w:rsid w:val="21A59EDA"/>
    <w:rsid w:val="21A71C87"/>
    <w:rsid w:val="21A76429"/>
    <w:rsid w:val="21A9F58B"/>
    <w:rsid w:val="21AE178B"/>
    <w:rsid w:val="21B0290D"/>
    <w:rsid w:val="21B0AF94"/>
    <w:rsid w:val="21B17115"/>
    <w:rsid w:val="21B40ABB"/>
    <w:rsid w:val="21B6BFAA"/>
    <w:rsid w:val="21BC8F76"/>
    <w:rsid w:val="21C2F77B"/>
    <w:rsid w:val="21C336F9"/>
    <w:rsid w:val="21C8F710"/>
    <w:rsid w:val="21CB198C"/>
    <w:rsid w:val="21CFDD1F"/>
    <w:rsid w:val="21D139A5"/>
    <w:rsid w:val="21D23D1D"/>
    <w:rsid w:val="21D796C2"/>
    <w:rsid w:val="21DC59A8"/>
    <w:rsid w:val="21DF4193"/>
    <w:rsid w:val="21E23142"/>
    <w:rsid w:val="21E3D439"/>
    <w:rsid w:val="21E516AF"/>
    <w:rsid w:val="21E68E25"/>
    <w:rsid w:val="21E85451"/>
    <w:rsid w:val="21EAF725"/>
    <w:rsid w:val="21EC2251"/>
    <w:rsid w:val="21EC7E36"/>
    <w:rsid w:val="21EE8226"/>
    <w:rsid w:val="21EFF8EF"/>
    <w:rsid w:val="21F00225"/>
    <w:rsid w:val="21F148D3"/>
    <w:rsid w:val="21F7AA72"/>
    <w:rsid w:val="21F7BAB7"/>
    <w:rsid w:val="21FA55C0"/>
    <w:rsid w:val="21FE8207"/>
    <w:rsid w:val="21FFFB5F"/>
    <w:rsid w:val="220266FB"/>
    <w:rsid w:val="22028090"/>
    <w:rsid w:val="2203B054"/>
    <w:rsid w:val="2205F662"/>
    <w:rsid w:val="220F9136"/>
    <w:rsid w:val="22126546"/>
    <w:rsid w:val="2214486D"/>
    <w:rsid w:val="221487F7"/>
    <w:rsid w:val="2219A5B9"/>
    <w:rsid w:val="221A53AF"/>
    <w:rsid w:val="221A92B3"/>
    <w:rsid w:val="221D3AB9"/>
    <w:rsid w:val="2221128E"/>
    <w:rsid w:val="22213DAC"/>
    <w:rsid w:val="22230858"/>
    <w:rsid w:val="2225E01E"/>
    <w:rsid w:val="222B07A2"/>
    <w:rsid w:val="2231B8B8"/>
    <w:rsid w:val="22367320"/>
    <w:rsid w:val="224312D6"/>
    <w:rsid w:val="224453A2"/>
    <w:rsid w:val="22476512"/>
    <w:rsid w:val="224DFF7E"/>
    <w:rsid w:val="2253A885"/>
    <w:rsid w:val="225B2FD9"/>
    <w:rsid w:val="225C4FED"/>
    <w:rsid w:val="225FFCE3"/>
    <w:rsid w:val="22612227"/>
    <w:rsid w:val="22629BA7"/>
    <w:rsid w:val="2264A128"/>
    <w:rsid w:val="22667D5C"/>
    <w:rsid w:val="226AD8A1"/>
    <w:rsid w:val="226D7A44"/>
    <w:rsid w:val="22724D8C"/>
    <w:rsid w:val="2272C777"/>
    <w:rsid w:val="22735CDF"/>
    <w:rsid w:val="2275F2E2"/>
    <w:rsid w:val="22773BCD"/>
    <w:rsid w:val="227909AC"/>
    <w:rsid w:val="2279BBB9"/>
    <w:rsid w:val="227A5F94"/>
    <w:rsid w:val="227CF6C5"/>
    <w:rsid w:val="227E1A2F"/>
    <w:rsid w:val="227F4437"/>
    <w:rsid w:val="22823512"/>
    <w:rsid w:val="22865EF0"/>
    <w:rsid w:val="2288816B"/>
    <w:rsid w:val="228E5ECC"/>
    <w:rsid w:val="2291C77D"/>
    <w:rsid w:val="2291CF3B"/>
    <w:rsid w:val="22945FC5"/>
    <w:rsid w:val="22955189"/>
    <w:rsid w:val="2295AE46"/>
    <w:rsid w:val="229FC653"/>
    <w:rsid w:val="229FDF17"/>
    <w:rsid w:val="22A247FC"/>
    <w:rsid w:val="22AF85CA"/>
    <w:rsid w:val="22B251BA"/>
    <w:rsid w:val="22B2CB14"/>
    <w:rsid w:val="22B7758E"/>
    <w:rsid w:val="22BCDADF"/>
    <w:rsid w:val="22BDD77E"/>
    <w:rsid w:val="22C361D0"/>
    <w:rsid w:val="22C8FF71"/>
    <w:rsid w:val="22C9F2EE"/>
    <w:rsid w:val="22CABA6F"/>
    <w:rsid w:val="22CF4B26"/>
    <w:rsid w:val="22D0A74B"/>
    <w:rsid w:val="22D135C7"/>
    <w:rsid w:val="22D36255"/>
    <w:rsid w:val="22D65F8A"/>
    <w:rsid w:val="22DA363F"/>
    <w:rsid w:val="22DBBDEF"/>
    <w:rsid w:val="22DCB318"/>
    <w:rsid w:val="22E014C2"/>
    <w:rsid w:val="22E02BF1"/>
    <w:rsid w:val="22E350D2"/>
    <w:rsid w:val="22E4F695"/>
    <w:rsid w:val="22E66014"/>
    <w:rsid w:val="22E772F0"/>
    <w:rsid w:val="22E8B97B"/>
    <w:rsid w:val="22EBB9EC"/>
    <w:rsid w:val="22EBF731"/>
    <w:rsid w:val="22EE5CE5"/>
    <w:rsid w:val="22EF6870"/>
    <w:rsid w:val="22F425DC"/>
    <w:rsid w:val="22F672C0"/>
    <w:rsid w:val="22F76D7D"/>
    <w:rsid w:val="2300D2C9"/>
    <w:rsid w:val="2300E57D"/>
    <w:rsid w:val="23076907"/>
    <w:rsid w:val="23077A67"/>
    <w:rsid w:val="2309A6F7"/>
    <w:rsid w:val="230ED5ED"/>
    <w:rsid w:val="230FE518"/>
    <w:rsid w:val="23125B81"/>
    <w:rsid w:val="231428DE"/>
    <w:rsid w:val="2315C90B"/>
    <w:rsid w:val="2318077B"/>
    <w:rsid w:val="23184E8D"/>
    <w:rsid w:val="23190C26"/>
    <w:rsid w:val="23279023"/>
    <w:rsid w:val="23282FE7"/>
    <w:rsid w:val="23296DBF"/>
    <w:rsid w:val="232A55B9"/>
    <w:rsid w:val="232E9E64"/>
    <w:rsid w:val="2332F07F"/>
    <w:rsid w:val="2334AF05"/>
    <w:rsid w:val="23359DE4"/>
    <w:rsid w:val="2337CD59"/>
    <w:rsid w:val="23403107"/>
    <w:rsid w:val="23464E31"/>
    <w:rsid w:val="234AF41C"/>
    <w:rsid w:val="234D451D"/>
    <w:rsid w:val="2350295A"/>
    <w:rsid w:val="2354EA48"/>
    <w:rsid w:val="2356D9D1"/>
    <w:rsid w:val="23589AED"/>
    <w:rsid w:val="2359AB36"/>
    <w:rsid w:val="235A1BE0"/>
    <w:rsid w:val="235BBECF"/>
    <w:rsid w:val="235C5D03"/>
    <w:rsid w:val="2360A303"/>
    <w:rsid w:val="236749C1"/>
    <w:rsid w:val="236A4014"/>
    <w:rsid w:val="236D9E14"/>
    <w:rsid w:val="236FA897"/>
    <w:rsid w:val="237172C2"/>
    <w:rsid w:val="2372F317"/>
    <w:rsid w:val="23765CA7"/>
    <w:rsid w:val="237A6B79"/>
    <w:rsid w:val="237D824B"/>
    <w:rsid w:val="237E331E"/>
    <w:rsid w:val="237FA829"/>
    <w:rsid w:val="23848402"/>
    <w:rsid w:val="23866D39"/>
    <w:rsid w:val="238B4218"/>
    <w:rsid w:val="238B46AF"/>
    <w:rsid w:val="238E652E"/>
    <w:rsid w:val="23962E22"/>
    <w:rsid w:val="23967D0D"/>
    <w:rsid w:val="239E375C"/>
    <w:rsid w:val="23A0E52E"/>
    <w:rsid w:val="23A1075A"/>
    <w:rsid w:val="23A23FFE"/>
    <w:rsid w:val="23A2CDB1"/>
    <w:rsid w:val="23A57C9A"/>
    <w:rsid w:val="23A91A61"/>
    <w:rsid w:val="23A9A720"/>
    <w:rsid w:val="23ABBBE0"/>
    <w:rsid w:val="23ABDC2A"/>
    <w:rsid w:val="23B1060A"/>
    <w:rsid w:val="23B11564"/>
    <w:rsid w:val="23B89410"/>
    <w:rsid w:val="23BD9139"/>
    <w:rsid w:val="23BDA845"/>
    <w:rsid w:val="23BE39C7"/>
    <w:rsid w:val="23BEB835"/>
    <w:rsid w:val="23BED8B9"/>
    <w:rsid w:val="23BEDA0C"/>
    <w:rsid w:val="23C0E3A9"/>
    <w:rsid w:val="23CA2E67"/>
    <w:rsid w:val="23CB63AB"/>
    <w:rsid w:val="23CBFD25"/>
    <w:rsid w:val="23D37C47"/>
    <w:rsid w:val="23DCEB26"/>
    <w:rsid w:val="23E260BC"/>
    <w:rsid w:val="23E72270"/>
    <w:rsid w:val="23EE7234"/>
    <w:rsid w:val="23EF21E2"/>
    <w:rsid w:val="23F09494"/>
    <w:rsid w:val="23F1B04B"/>
    <w:rsid w:val="23F2B19B"/>
    <w:rsid w:val="23F42092"/>
    <w:rsid w:val="23F672BE"/>
    <w:rsid w:val="23F9328B"/>
    <w:rsid w:val="23FA923E"/>
    <w:rsid w:val="23FCEE87"/>
    <w:rsid w:val="23FF63E3"/>
    <w:rsid w:val="240A9864"/>
    <w:rsid w:val="240DE9C5"/>
    <w:rsid w:val="241B49A5"/>
    <w:rsid w:val="241B8CF4"/>
    <w:rsid w:val="2428E299"/>
    <w:rsid w:val="24319FE3"/>
    <w:rsid w:val="243410EA"/>
    <w:rsid w:val="243DD2BF"/>
    <w:rsid w:val="243ED17E"/>
    <w:rsid w:val="243ED9CC"/>
    <w:rsid w:val="244A1EE2"/>
    <w:rsid w:val="244B97D9"/>
    <w:rsid w:val="244E9540"/>
    <w:rsid w:val="24524A0A"/>
    <w:rsid w:val="2455F59C"/>
    <w:rsid w:val="245734E1"/>
    <w:rsid w:val="24576F47"/>
    <w:rsid w:val="2458BDA6"/>
    <w:rsid w:val="245A6E4A"/>
    <w:rsid w:val="245EC3D6"/>
    <w:rsid w:val="24608DEF"/>
    <w:rsid w:val="2461D73E"/>
    <w:rsid w:val="2466DFEB"/>
    <w:rsid w:val="2467ED59"/>
    <w:rsid w:val="246A05AF"/>
    <w:rsid w:val="246B26B6"/>
    <w:rsid w:val="246D7DA6"/>
    <w:rsid w:val="246FEDFF"/>
    <w:rsid w:val="2472EF84"/>
    <w:rsid w:val="24751712"/>
    <w:rsid w:val="247B7B44"/>
    <w:rsid w:val="247E4998"/>
    <w:rsid w:val="24800507"/>
    <w:rsid w:val="2490C9F7"/>
    <w:rsid w:val="2498B35D"/>
    <w:rsid w:val="249C0397"/>
    <w:rsid w:val="249EA09D"/>
    <w:rsid w:val="24A44FB0"/>
    <w:rsid w:val="24A72E56"/>
    <w:rsid w:val="24AA23F0"/>
    <w:rsid w:val="24AEE2C8"/>
    <w:rsid w:val="24B00903"/>
    <w:rsid w:val="24B626DF"/>
    <w:rsid w:val="24C2C4FB"/>
    <w:rsid w:val="24C46A75"/>
    <w:rsid w:val="24C6C1C9"/>
    <w:rsid w:val="24C78E73"/>
    <w:rsid w:val="24C80E0A"/>
    <w:rsid w:val="24C8FBE4"/>
    <w:rsid w:val="24CBDF9B"/>
    <w:rsid w:val="24D3878C"/>
    <w:rsid w:val="24D76036"/>
    <w:rsid w:val="24D853AB"/>
    <w:rsid w:val="24E4C8D2"/>
    <w:rsid w:val="24E5243A"/>
    <w:rsid w:val="24E5D85C"/>
    <w:rsid w:val="24E8B44A"/>
    <w:rsid w:val="24EDB412"/>
    <w:rsid w:val="24EDF9FB"/>
    <w:rsid w:val="24F29F47"/>
    <w:rsid w:val="24F5F58C"/>
    <w:rsid w:val="24F8D2A4"/>
    <w:rsid w:val="24FF0A46"/>
    <w:rsid w:val="24FF28D9"/>
    <w:rsid w:val="25070684"/>
    <w:rsid w:val="25096161"/>
    <w:rsid w:val="2509E120"/>
    <w:rsid w:val="250ABA64"/>
    <w:rsid w:val="250CACFA"/>
    <w:rsid w:val="25133E58"/>
    <w:rsid w:val="2513E4FD"/>
    <w:rsid w:val="251BEB99"/>
    <w:rsid w:val="25244179"/>
    <w:rsid w:val="252C4E1C"/>
    <w:rsid w:val="252CC5DF"/>
    <w:rsid w:val="252F5500"/>
    <w:rsid w:val="25301C55"/>
    <w:rsid w:val="25370B80"/>
    <w:rsid w:val="25380DA5"/>
    <w:rsid w:val="2543AECE"/>
    <w:rsid w:val="25457017"/>
    <w:rsid w:val="2545DCC6"/>
    <w:rsid w:val="2548ABB0"/>
    <w:rsid w:val="254E9154"/>
    <w:rsid w:val="255262F3"/>
    <w:rsid w:val="25531D6C"/>
    <w:rsid w:val="25546C65"/>
    <w:rsid w:val="25552A85"/>
    <w:rsid w:val="2556FDEC"/>
    <w:rsid w:val="25582078"/>
    <w:rsid w:val="25593987"/>
    <w:rsid w:val="255D770B"/>
    <w:rsid w:val="25640A89"/>
    <w:rsid w:val="256486AA"/>
    <w:rsid w:val="25655A55"/>
    <w:rsid w:val="256F0A0D"/>
    <w:rsid w:val="256FF816"/>
    <w:rsid w:val="257C8153"/>
    <w:rsid w:val="257CB306"/>
    <w:rsid w:val="257EAF69"/>
    <w:rsid w:val="257F56B7"/>
    <w:rsid w:val="25800E71"/>
    <w:rsid w:val="25840BE9"/>
    <w:rsid w:val="25863719"/>
    <w:rsid w:val="258905FB"/>
    <w:rsid w:val="258BF380"/>
    <w:rsid w:val="258E2E86"/>
    <w:rsid w:val="2590D602"/>
    <w:rsid w:val="25928D96"/>
    <w:rsid w:val="259BDF0B"/>
    <w:rsid w:val="25A2CFAF"/>
    <w:rsid w:val="25A30E20"/>
    <w:rsid w:val="25A87200"/>
    <w:rsid w:val="25AB5673"/>
    <w:rsid w:val="25AF0CD1"/>
    <w:rsid w:val="25B1E52B"/>
    <w:rsid w:val="25B482D5"/>
    <w:rsid w:val="25BE8C12"/>
    <w:rsid w:val="25C34417"/>
    <w:rsid w:val="25C37501"/>
    <w:rsid w:val="25C7097F"/>
    <w:rsid w:val="25CE8722"/>
    <w:rsid w:val="25D2CACE"/>
    <w:rsid w:val="25D68913"/>
    <w:rsid w:val="25D6F6C1"/>
    <w:rsid w:val="25D7C488"/>
    <w:rsid w:val="25D8934D"/>
    <w:rsid w:val="25DC3708"/>
    <w:rsid w:val="25DFCF91"/>
    <w:rsid w:val="25E372AC"/>
    <w:rsid w:val="25E64834"/>
    <w:rsid w:val="25E91378"/>
    <w:rsid w:val="25E991C8"/>
    <w:rsid w:val="25EC1602"/>
    <w:rsid w:val="25EC7F50"/>
    <w:rsid w:val="25F0ECF6"/>
    <w:rsid w:val="25F1404F"/>
    <w:rsid w:val="25F63623"/>
    <w:rsid w:val="25FA48EE"/>
    <w:rsid w:val="260016AA"/>
    <w:rsid w:val="2605B9D6"/>
    <w:rsid w:val="2607E739"/>
    <w:rsid w:val="260CF596"/>
    <w:rsid w:val="2614F688"/>
    <w:rsid w:val="261671B3"/>
    <w:rsid w:val="2619D001"/>
    <w:rsid w:val="26229B2B"/>
    <w:rsid w:val="263219FA"/>
    <w:rsid w:val="26333746"/>
    <w:rsid w:val="26382B8A"/>
    <w:rsid w:val="2638592E"/>
    <w:rsid w:val="263A05E3"/>
    <w:rsid w:val="263D1845"/>
    <w:rsid w:val="26441201"/>
    <w:rsid w:val="26447A8F"/>
    <w:rsid w:val="2644F6DE"/>
    <w:rsid w:val="264699E8"/>
    <w:rsid w:val="264886C3"/>
    <w:rsid w:val="264A7676"/>
    <w:rsid w:val="264F8479"/>
    <w:rsid w:val="2652D447"/>
    <w:rsid w:val="2653F4F4"/>
    <w:rsid w:val="265B4A4B"/>
    <w:rsid w:val="265FF9CE"/>
    <w:rsid w:val="26617215"/>
    <w:rsid w:val="2663D18A"/>
    <w:rsid w:val="2667AFFC"/>
    <w:rsid w:val="266F6E1B"/>
    <w:rsid w:val="2672B394"/>
    <w:rsid w:val="2673C8EB"/>
    <w:rsid w:val="2676C1DE"/>
    <w:rsid w:val="2676D054"/>
    <w:rsid w:val="2676FF7F"/>
    <w:rsid w:val="26796333"/>
    <w:rsid w:val="267A7D15"/>
    <w:rsid w:val="267DA150"/>
    <w:rsid w:val="26805EAA"/>
    <w:rsid w:val="268114A7"/>
    <w:rsid w:val="2685D9DB"/>
    <w:rsid w:val="26863C49"/>
    <w:rsid w:val="2686BC2A"/>
    <w:rsid w:val="2689AE6C"/>
    <w:rsid w:val="268B6EBE"/>
    <w:rsid w:val="268D2766"/>
    <w:rsid w:val="268D99B3"/>
    <w:rsid w:val="268F4BA6"/>
    <w:rsid w:val="26914130"/>
    <w:rsid w:val="26922D45"/>
    <w:rsid w:val="2693861C"/>
    <w:rsid w:val="2693E413"/>
    <w:rsid w:val="26985FD4"/>
    <w:rsid w:val="2698D961"/>
    <w:rsid w:val="269D6033"/>
    <w:rsid w:val="269DA874"/>
    <w:rsid w:val="26A94AF6"/>
    <w:rsid w:val="26AB016A"/>
    <w:rsid w:val="26AB86E2"/>
    <w:rsid w:val="26AC6258"/>
    <w:rsid w:val="26B01A77"/>
    <w:rsid w:val="26B83C54"/>
    <w:rsid w:val="26BC271E"/>
    <w:rsid w:val="26BD592C"/>
    <w:rsid w:val="26BD7C91"/>
    <w:rsid w:val="26BEC540"/>
    <w:rsid w:val="26C8CF11"/>
    <w:rsid w:val="26CD3BC7"/>
    <w:rsid w:val="26D06F71"/>
    <w:rsid w:val="26D37E8C"/>
    <w:rsid w:val="26D5BE3F"/>
    <w:rsid w:val="26D5F460"/>
    <w:rsid w:val="26D89241"/>
    <w:rsid w:val="26DEC5E7"/>
    <w:rsid w:val="26E584E6"/>
    <w:rsid w:val="26E89FF4"/>
    <w:rsid w:val="26F43464"/>
    <w:rsid w:val="26FC800B"/>
    <w:rsid w:val="26FCE296"/>
    <w:rsid w:val="26FFADF3"/>
    <w:rsid w:val="2701288D"/>
    <w:rsid w:val="27095F6A"/>
    <w:rsid w:val="270A4A0B"/>
    <w:rsid w:val="271443C1"/>
    <w:rsid w:val="2718A9D3"/>
    <w:rsid w:val="271CE3BC"/>
    <w:rsid w:val="271F18E2"/>
    <w:rsid w:val="27228052"/>
    <w:rsid w:val="272B44B3"/>
    <w:rsid w:val="273317AA"/>
    <w:rsid w:val="2736BA19"/>
    <w:rsid w:val="27379636"/>
    <w:rsid w:val="2738B75D"/>
    <w:rsid w:val="2740814D"/>
    <w:rsid w:val="274EF87F"/>
    <w:rsid w:val="274F5344"/>
    <w:rsid w:val="275096C2"/>
    <w:rsid w:val="2754CED3"/>
    <w:rsid w:val="27553169"/>
    <w:rsid w:val="27560E46"/>
    <w:rsid w:val="27588F38"/>
    <w:rsid w:val="275EAAB3"/>
    <w:rsid w:val="275EC503"/>
    <w:rsid w:val="275EF9E9"/>
    <w:rsid w:val="2765246B"/>
    <w:rsid w:val="2769B3E2"/>
    <w:rsid w:val="276DAC92"/>
    <w:rsid w:val="276F2C4B"/>
    <w:rsid w:val="2772F759"/>
    <w:rsid w:val="27754FDB"/>
    <w:rsid w:val="277AF776"/>
    <w:rsid w:val="2785358B"/>
    <w:rsid w:val="27857710"/>
    <w:rsid w:val="278802DE"/>
    <w:rsid w:val="278982B8"/>
    <w:rsid w:val="278B37DC"/>
    <w:rsid w:val="278D670C"/>
    <w:rsid w:val="278DCF75"/>
    <w:rsid w:val="2790D658"/>
    <w:rsid w:val="27975CA8"/>
    <w:rsid w:val="279844E6"/>
    <w:rsid w:val="2798E9DE"/>
    <w:rsid w:val="279AEE92"/>
    <w:rsid w:val="279B3D8B"/>
    <w:rsid w:val="27A60F1A"/>
    <w:rsid w:val="27A8989C"/>
    <w:rsid w:val="27AC5234"/>
    <w:rsid w:val="27AC6E1B"/>
    <w:rsid w:val="27AE609E"/>
    <w:rsid w:val="27AF3F0C"/>
    <w:rsid w:val="27B89E04"/>
    <w:rsid w:val="27B96A76"/>
    <w:rsid w:val="27BA1E47"/>
    <w:rsid w:val="27BB1771"/>
    <w:rsid w:val="27BF1358"/>
    <w:rsid w:val="27BFA249"/>
    <w:rsid w:val="27BFB856"/>
    <w:rsid w:val="27C1C32D"/>
    <w:rsid w:val="27C5433C"/>
    <w:rsid w:val="27C59696"/>
    <w:rsid w:val="27CC5A19"/>
    <w:rsid w:val="27CEE4E2"/>
    <w:rsid w:val="27D0205E"/>
    <w:rsid w:val="27D1B516"/>
    <w:rsid w:val="27D2B208"/>
    <w:rsid w:val="27D507D0"/>
    <w:rsid w:val="27D8EF30"/>
    <w:rsid w:val="27DA776D"/>
    <w:rsid w:val="27DCB2FB"/>
    <w:rsid w:val="27E09CC7"/>
    <w:rsid w:val="27E1B90E"/>
    <w:rsid w:val="27E2D727"/>
    <w:rsid w:val="27E2D8D8"/>
    <w:rsid w:val="27E47A93"/>
    <w:rsid w:val="27E6E1B5"/>
    <w:rsid w:val="27ED7A06"/>
    <w:rsid w:val="27F0113B"/>
    <w:rsid w:val="27F1BA28"/>
    <w:rsid w:val="27F7D4E9"/>
    <w:rsid w:val="27FECEF1"/>
    <w:rsid w:val="2804B38E"/>
    <w:rsid w:val="280A4ADF"/>
    <w:rsid w:val="280B86DC"/>
    <w:rsid w:val="2817DCDD"/>
    <w:rsid w:val="2818D7C5"/>
    <w:rsid w:val="282049F4"/>
    <w:rsid w:val="2820C1FF"/>
    <w:rsid w:val="2820C5A5"/>
    <w:rsid w:val="2825B3B6"/>
    <w:rsid w:val="28277BE3"/>
    <w:rsid w:val="2827F62E"/>
    <w:rsid w:val="282CBECF"/>
    <w:rsid w:val="283103AD"/>
    <w:rsid w:val="283113EE"/>
    <w:rsid w:val="283126AE"/>
    <w:rsid w:val="28356533"/>
    <w:rsid w:val="283C921D"/>
    <w:rsid w:val="283DF4EF"/>
    <w:rsid w:val="283EE644"/>
    <w:rsid w:val="2845E1CD"/>
    <w:rsid w:val="284B848B"/>
    <w:rsid w:val="285E0A44"/>
    <w:rsid w:val="285E86B0"/>
    <w:rsid w:val="286189D7"/>
    <w:rsid w:val="2861CEFF"/>
    <w:rsid w:val="2873726C"/>
    <w:rsid w:val="28750FA2"/>
    <w:rsid w:val="28753E7E"/>
    <w:rsid w:val="28783866"/>
    <w:rsid w:val="2879217F"/>
    <w:rsid w:val="287AC668"/>
    <w:rsid w:val="288152EE"/>
    <w:rsid w:val="28831788"/>
    <w:rsid w:val="2884772D"/>
    <w:rsid w:val="288A872D"/>
    <w:rsid w:val="288B18D9"/>
    <w:rsid w:val="288C88C0"/>
    <w:rsid w:val="289138C2"/>
    <w:rsid w:val="2892D2CB"/>
    <w:rsid w:val="28944F9F"/>
    <w:rsid w:val="28971546"/>
    <w:rsid w:val="28974CAE"/>
    <w:rsid w:val="28986606"/>
    <w:rsid w:val="289B6A93"/>
    <w:rsid w:val="289B8DCE"/>
    <w:rsid w:val="289C97A1"/>
    <w:rsid w:val="289D9F8A"/>
    <w:rsid w:val="289F551F"/>
    <w:rsid w:val="28A3C85F"/>
    <w:rsid w:val="28A7775B"/>
    <w:rsid w:val="28ABE287"/>
    <w:rsid w:val="28AC6BE8"/>
    <w:rsid w:val="28AD1BC6"/>
    <w:rsid w:val="28B03FB3"/>
    <w:rsid w:val="28B1B437"/>
    <w:rsid w:val="28B9B22B"/>
    <w:rsid w:val="28B9D7E4"/>
    <w:rsid w:val="28BB8AA5"/>
    <w:rsid w:val="28BD2DD1"/>
    <w:rsid w:val="28BFB4DE"/>
    <w:rsid w:val="28C8ECFC"/>
    <w:rsid w:val="28CAB5A7"/>
    <w:rsid w:val="28CD2756"/>
    <w:rsid w:val="28CEB9EE"/>
    <w:rsid w:val="28CF82D4"/>
    <w:rsid w:val="28D171E7"/>
    <w:rsid w:val="28D18C35"/>
    <w:rsid w:val="28D1CEA0"/>
    <w:rsid w:val="28D1CF99"/>
    <w:rsid w:val="28D21EFE"/>
    <w:rsid w:val="28D294AA"/>
    <w:rsid w:val="28D3449D"/>
    <w:rsid w:val="28D5A7EF"/>
    <w:rsid w:val="28DBB333"/>
    <w:rsid w:val="28DFCDF7"/>
    <w:rsid w:val="28E04E75"/>
    <w:rsid w:val="28E18648"/>
    <w:rsid w:val="28E87901"/>
    <w:rsid w:val="28EBF6A7"/>
    <w:rsid w:val="28F3E728"/>
    <w:rsid w:val="28F4C3DC"/>
    <w:rsid w:val="29017F12"/>
    <w:rsid w:val="290417E4"/>
    <w:rsid w:val="2904938A"/>
    <w:rsid w:val="2904A947"/>
    <w:rsid w:val="290A61A8"/>
    <w:rsid w:val="2913A32C"/>
    <w:rsid w:val="2913E9F1"/>
    <w:rsid w:val="29143344"/>
    <w:rsid w:val="2926F883"/>
    <w:rsid w:val="2926FD66"/>
    <w:rsid w:val="292AEBE8"/>
    <w:rsid w:val="292FC271"/>
    <w:rsid w:val="29304E41"/>
    <w:rsid w:val="2931D54A"/>
    <w:rsid w:val="29344349"/>
    <w:rsid w:val="29360661"/>
    <w:rsid w:val="2937BEB4"/>
    <w:rsid w:val="293956C5"/>
    <w:rsid w:val="293AC299"/>
    <w:rsid w:val="293C636E"/>
    <w:rsid w:val="293D306E"/>
    <w:rsid w:val="293EA8DA"/>
    <w:rsid w:val="293FE638"/>
    <w:rsid w:val="294152EE"/>
    <w:rsid w:val="294169E6"/>
    <w:rsid w:val="29424847"/>
    <w:rsid w:val="2944C78A"/>
    <w:rsid w:val="2945928C"/>
    <w:rsid w:val="294782E7"/>
    <w:rsid w:val="294F1C0A"/>
    <w:rsid w:val="29518CFC"/>
    <w:rsid w:val="2952AEFB"/>
    <w:rsid w:val="29532178"/>
    <w:rsid w:val="2955FA25"/>
    <w:rsid w:val="295CE2C0"/>
    <w:rsid w:val="2963D9AA"/>
    <w:rsid w:val="296566BA"/>
    <w:rsid w:val="2965E1DD"/>
    <w:rsid w:val="296AE857"/>
    <w:rsid w:val="296C5EE5"/>
    <w:rsid w:val="297426F3"/>
    <w:rsid w:val="29743586"/>
    <w:rsid w:val="297482D3"/>
    <w:rsid w:val="2978F4F7"/>
    <w:rsid w:val="297EE564"/>
    <w:rsid w:val="297FA6EA"/>
    <w:rsid w:val="29818118"/>
    <w:rsid w:val="29844861"/>
    <w:rsid w:val="29893203"/>
    <w:rsid w:val="298982D2"/>
    <w:rsid w:val="298D4129"/>
    <w:rsid w:val="298E6A71"/>
    <w:rsid w:val="29919522"/>
    <w:rsid w:val="2994070C"/>
    <w:rsid w:val="29943A7D"/>
    <w:rsid w:val="299A116A"/>
    <w:rsid w:val="299BCFBA"/>
    <w:rsid w:val="299D8434"/>
    <w:rsid w:val="29A08DAA"/>
    <w:rsid w:val="29A214DF"/>
    <w:rsid w:val="29A2E43B"/>
    <w:rsid w:val="29A3BD48"/>
    <w:rsid w:val="29A6A53E"/>
    <w:rsid w:val="29AA1903"/>
    <w:rsid w:val="29AEC83D"/>
    <w:rsid w:val="29B257AF"/>
    <w:rsid w:val="29B620BB"/>
    <w:rsid w:val="29B9560B"/>
    <w:rsid w:val="29BCE389"/>
    <w:rsid w:val="29C3B381"/>
    <w:rsid w:val="29CB2734"/>
    <w:rsid w:val="29CB390E"/>
    <w:rsid w:val="29D3D9A6"/>
    <w:rsid w:val="29D57E97"/>
    <w:rsid w:val="29D6079A"/>
    <w:rsid w:val="29D7FBB9"/>
    <w:rsid w:val="29D96E9D"/>
    <w:rsid w:val="29DC1825"/>
    <w:rsid w:val="29E2AE56"/>
    <w:rsid w:val="29E45730"/>
    <w:rsid w:val="29EED82F"/>
    <w:rsid w:val="29EF0D3D"/>
    <w:rsid w:val="29EFA80C"/>
    <w:rsid w:val="29EFDFF3"/>
    <w:rsid w:val="29F17B70"/>
    <w:rsid w:val="29F51068"/>
    <w:rsid w:val="29F6521A"/>
    <w:rsid w:val="29F7D856"/>
    <w:rsid w:val="2A05D13B"/>
    <w:rsid w:val="2A0FB4CE"/>
    <w:rsid w:val="2A14506F"/>
    <w:rsid w:val="2A15424E"/>
    <w:rsid w:val="2A1D09F5"/>
    <w:rsid w:val="2A1E4555"/>
    <w:rsid w:val="2A2A09FF"/>
    <w:rsid w:val="2A2C48E1"/>
    <w:rsid w:val="2A2C7D44"/>
    <w:rsid w:val="2A2EA708"/>
    <w:rsid w:val="2A33044D"/>
    <w:rsid w:val="2A38C7AE"/>
    <w:rsid w:val="2A396FEB"/>
    <w:rsid w:val="2A3BA9D6"/>
    <w:rsid w:val="2A3CF2B8"/>
    <w:rsid w:val="2A3EDDE3"/>
    <w:rsid w:val="2A40D92B"/>
    <w:rsid w:val="2A43BCED"/>
    <w:rsid w:val="2A46F599"/>
    <w:rsid w:val="2A4A7B68"/>
    <w:rsid w:val="2A4B7410"/>
    <w:rsid w:val="2A4D7D4C"/>
    <w:rsid w:val="2A4E80F6"/>
    <w:rsid w:val="2A54BD1D"/>
    <w:rsid w:val="2A564B71"/>
    <w:rsid w:val="2A57460F"/>
    <w:rsid w:val="2A62D07D"/>
    <w:rsid w:val="2A64D55B"/>
    <w:rsid w:val="2A66538C"/>
    <w:rsid w:val="2A6745AE"/>
    <w:rsid w:val="2A677734"/>
    <w:rsid w:val="2A67BF0F"/>
    <w:rsid w:val="2A6E418D"/>
    <w:rsid w:val="2A6ED00B"/>
    <w:rsid w:val="2A6F019A"/>
    <w:rsid w:val="2A6FAD99"/>
    <w:rsid w:val="2A779031"/>
    <w:rsid w:val="2A79CB41"/>
    <w:rsid w:val="2A849814"/>
    <w:rsid w:val="2A851B88"/>
    <w:rsid w:val="2A8867CA"/>
    <w:rsid w:val="2A8BC858"/>
    <w:rsid w:val="2A96B18D"/>
    <w:rsid w:val="2A974CBC"/>
    <w:rsid w:val="2A9E2282"/>
    <w:rsid w:val="2A9EAB94"/>
    <w:rsid w:val="2AA188C6"/>
    <w:rsid w:val="2AA391E6"/>
    <w:rsid w:val="2AA3D12E"/>
    <w:rsid w:val="2AAD15FF"/>
    <w:rsid w:val="2AAE8FD6"/>
    <w:rsid w:val="2AAF2C51"/>
    <w:rsid w:val="2AB4BF87"/>
    <w:rsid w:val="2AB70077"/>
    <w:rsid w:val="2AB767A5"/>
    <w:rsid w:val="2AC15DBD"/>
    <w:rsid w:val="2AC37CD8"/>
    <w:rsid w:val="2AC3E3C4"/>
    <w:rsid w:val="2AC947C2"/>
    <w:rsid w:val="2AC9CBCD"/>
    <w:rsid w:val="2ACA31AC"/>
    <w:rsid w:val="2ACC912A"/>
    <w:rsid w:val="2ACED836"/>
    <w:rsid w:val="2AD03429"/>
    <w:rsid w:val="2AD64F4D"/>
    <w:rsid w:val="2AD7558C"/>
    <w:rsid w:val="2ADECF06"/>
    <w:rsid w:val="2AE1FC69"/>
    <w:rsid w:val="2AEB77DF"/>
    <w:rsid w:val="2AEC1428"/>
    <w:rsid w:val="2AEE23DF"/>
    <w:rsid w:val="2AF06D48"/>
    <w:rsid w:val="2AF1FFB5"/>
    <w:rsid w:val="2AF2E2C7"/>
    <w:rsid w:val="2AF42C0B"/>
    <w:rsid w:val="2AF5A48C"/>
    <w:rsid w:val="2AF78CB6"/>
    <w:rsid w:val="2AFAD418"/>
    <w:rsid w:val="2AFEC834"/>
    <w:rsid w:val="2B000BB3"/>
    <w:rsid w:val="2B031B52"/>
    <w:rsid w:val="2B0580AF"/>
    <w:rsid w:val="2B06B8B8"/>
    <w:rsid w:val="2B07AA6A"/>
    <w:rsid w:val="2B0F7204"/>
    <w:rsid w:val="2B1003EE"/>
    <w:rsid w:val="2B112381"/>
    <w:rsid w:val="2B1C9EEA"/>
    <w:rsid w:val="2B1E1B44"/>
    <w:rsid w:val="2B1FAE01"/>
    <w:rsid w:val="2B215355"/>
    <w:rsid w:val="2B24FB69"/>
    <w:rsid w:val="2B26079C"/>
    <w:rsid w:val="2B2650E6"/>
    <w:rsid w:val="2B2741F8"/>
    <w:rsid w:val="2B29C78C"/>
    <w:rsid w:val="2B31C9CD"/>
    <w:rsid w:val="2B3349CC"/>
    <w:rsid w:val="2B337ADE"/>
    <w:rsid w:val="2B353A21"/>
    <w:rsid w:val="2B37DC33"/>
    <w:rsid w:val="2B39FA28"/>
    <w:rsid w:val="2B3D9324"/>
    <w:rsid w:val="2B3F3A47"/>
    <w:rsid w:val="2B4714DF"/>
    <w:rsid w:val="2B472C44"/>
    <w:rsid w:val="2B476480"/>
    <w:rsid w:val="2B47F0FB"/>
    <w:rsid w:val="2B4BB0AF"/>
    <w:rsid w:val="2B4F7753"/>
    <w:rsid w:val="2B53770A"/>
    <w:rsid w:val="2B5468E9"/>
    <w:rsid w:val="2B548B9A"/>
    <w:rsid w:val="2B55F284"/>
    <w:rsid w:val="2B59E836"/>
    <w:rsid w:val="2B61BD8B"/>
    <w:rsid w:val="2B66D241"/>
    <w:rsid w:val="2B685546"/>
    <w:rsid w:val="2B69DA1C"/>
    <w:rsid w:val="2B6A0BCC"/>
    <w:rsid w:val="2B6FADB1"/>
    <w:rsid w:val="2B7AE10C"/>
    <w:rsid w:val="2B7E2470"/>
    <w:rsid w:val="2B7F3999"/>
    <w:rsid w:val="2B7FAA22"/>
    <w:rsid w:val="2B82AE98"/>
    <w:rsid w:val="2B834FB1"/>
    <w:rsid w:val="2B83BDB8"/>
    <w:rsid w:val="2B856D76"/>
    <w:rsid w:val="2B883C7B"/>
    <w:rsid w:val="2B8A1392"/>
    <w:rsid w:val="2B9156CC"/>
    <w:rsid w:val="2B96634D"/>
    <w:rsid w:val="2B996593"/>
    <w:rsid w:val="2B9DF0FE"/>
    <w:rsid w:val="2BA05E5B"/>
    <w:rsid w:val="2BA2EAC0"/>
    <w:rsid w:val="2BA3833A"/>
    <w:rsid w:val="2BA65ED4"/>
    <w:rsid w:val="2BB01D90"/>
    <w:rsid w:val="2BB020D0"/>
    <w:rsid w:val="2BB04CED"/>
    <w:rsid w:val="2BB0C663"/>
    <w:rsid w:val="2BB65558"/>
    <w:rsid w:val="2BBD397E"/>
    <w:rsid w:val="2BC10FC7"/>
    <w:rsid w:val="2BC141B4"/>
    <w:rsid w:val="2BC3A69B"/>
    <w:rsid w:val="2BC5F1E4"/>
    <w:rsid w:val="2BC81942"/>
    <w:rsid w:val="2BC9413E"/>
    <w:rsid w:val="2BCA64FF"/>
    <w:rsid w:val="2BCD8583"/>
    <w:rsid w:val="2BCE0F63"/>
    <w:rsid w:val="2BCED4AE"/>
    <w:rsid w:val="2BD67392"/>
    <w:rsid w:val="2BD8564C"/>
    <w:rsid w:val="2BDA79C6"/>
    <w:rsid w:val="2BDB71BB"/>
    <w:rsid w:val="2BDBF41D"/>
    <w:rsid w:val="2BDEDA33"/>
    <w:rsid w:val="2BE04BAD"/>
    <w:rsid w:val="2BE0B90B"/>
    <w:rsid w:val="2BE131E0"/>
    <w:rsid w:val="2BE62CE1"/>
    <w:rsid w:val="2BE62E8E"/>
    <w:rsid w:val="2BE7FD0B"/>
    <w:rsid w:val="2BE82D22"/>
    <w:rsid w:val="2BE8DD90"/>
    <w:rsid w:val="2BF29AA8"/>
    <w:rsid w:val="2BF87AB4"/>
    <w:rsid w:val="2BFC247C"/>
    <w:rsid w:val="2BFD2B46"/>
    <w:rsid w:val="2C009DD5"/>
    <w:rsid w:val="2C04063A"/>
    <w:rsid w:val="2C12FEAE"/>
    <w:rsid w:val="2C138F3D"/>
    <w:rsid w:val="2C16D490"/>
    <w:rsid w:val="2C1718A1"/>
    <w:rsid w:val="2C17BC5C"/>
    <w:rsid w:val="2C19A1F2"/>
    <w:rsid w:val="2C19B1A2"/>
    <w:rsid w:val="2C1C880A"/>
    <w:rsid w:val="2C2019C3"/>
    <w:rsid w:val="2C21191F"/>
    <w:rsid w:val="2C262431"/>
    <w:rsid w:val="2C283FBF"/>
    <w:rsid w:val="2C2FCF92"/>
    <w:rsid w:val="2C305E6D"/>
    <w:rsid w:val="2C32A40F"/>
    <w:rsid w:val="2C351A17"/>
    <w:rsid w:val="2C3781BF"/>
    <w:rsid w:val="2C37EFCB"/>
    <w:rsid w:val="2C39443B"/>
    <w:rsid w:val="2C3C9F43"/>
    <w:rsid w:val="2C4099F5"/>
    <w:rsid w:val="2C449623"/>
    <w:rsid w:val="2C46981F"/>
    <w:rsid w:val="2C4B1D25"/>
    <w:rsid w:val="2C4C3E5D"/>
    <w:rsid w:val="2C4F4D70"/>
    <w:rsid w:val="2C518CAF"/>
    <w:rsid w:val="2C51C473"/>
    <w:rsid w:val="2C52E39A"/>
    <w:rsid w:val="2C533A95"/>
    <w:rsid w:val="2C54397C"/>
    <w:rsid w:val="2C554231"/>
    <w:rsid w:val="2C55B7AC"/>
    <w:rsid w:val="2C55DD18"/>
    <w:rsid w:val="2C569E54"/>
    <w:rsid w:val="2C587B3B"/>
    <w:rsid w:val="2C599DBC"/>
    <w:rsid w:val="2C5F91EF"/>
    <w:rsid w:val="2C5F9354"/>
    <w:rsid w:val="2C5FB5F5"/>
    <w:rsid w:val="2C5FCB24"/>
    <w:rsid w:val="2C64CC5C"/>
    <w:rsid w:val="2C66667E"/>
    <w:rsid w:val="2C66AE0A"/>
    <w:rsid w:val="2C67E7A2"/>
    <w:rsid w:val="2C69B238"/>
    <w:rsid w:val="2C700187"/>
    <w:rsid w:val="2C73A5D2"/>
    <w:rsid w:val="2C78B9D1"/>
    <w:rsid w:val="2C7A79D6"/>
    <w:rsid w:val="2C7AA309"/>
    <w:rsid w:val="2C7FE380"/>
    <w:rsid w:val="2C814312"/>
    <w:rsid w:val="2C83917E"/>
    <w:rsid w:val="2C8B1508"/>
    <w:rsid w:val="2C8CB698"/>
    <w:rsid w:val="2C910666"/>
    <w:rsid w:val="2C953450"/>
    <w:rsid w:val="2C99E725"/>
    <w:rsid w:val="2C9B2090"/>
    <w:rsid w:val="2CA28919"/>
    <w:rsid w:val="2CA92C9E"/>
    <w:rsid w:val="2CB00CBA"/>
    <w:rsid w:val="2CBAD788"/>
    <w:rsid w:val="2CBE53F9"/>
    <w:rsid w:val="2CBECF8B"/>
    <w:rsid w:val="2CC2B3B2"/>
    <w:rsid w:val="2CC43786"/>
    <w:rsid w:val="2CC6B5F5"/>
    <w:rsid w:val="2CC83DD0"/>
    <w:rsid w:val="2CCA474F"/>
    <w:rsid w:val="2CCBD460"/>
    <w:rsid w:val="2CCC81D7"/>
    <w:rsid w:val="2CD1A557"/>
    <w:rsid w:val="2CD5AA4B"/>
    <w:rsid w:val="2CD9C09A"/>
    <w:rsid w:val="2CDB35E9"/>
    <w:rsid w:val="2CE51A5F"/>
    <w:rsid w:val="2CE57D68"/>
    <w:rsid w:val="2CE5C6CC"/>
    <w:rsid w:val="2CE6CB21"/>
    <w:rsid w:val="2CE92747"/>
    <w:rsid w:val="2CE94E79"/>
    <w:rsid w:val="2CEB26ED"/>
    <w:rsid w:val="2CEC5F56"/>
    <w:rsid w:val="2CF3E3CF"/>
    <w:rsid w:val="2CF7B32D"/>
    <w:rsid w:val="2CF9701F"/>
    <w:rsid w:val="2CFA2879"/>
    <w:rsid w:val="2CFD8F1D"/>
    <w:rsid w:val="2D0867CF"/>
    <w:rsid w:val="2D0BD193"/>
    <w:rsid w:val="2D11B4A0"/>
    <w:rsid w:val="2D134C20"/>
    <w:rsid w:val="2D15A690"/>
    <w:rsid w:val="2D180D65"/>
    <w:rsid w:val="2D1A669E"/>
    <w:rsid w:val="2D1AC8BF"/>
    <w:rsid w:val="2D1AEA29"/>
    <w:rsid w:val="2D1BD349"/>
    <w:rsid w:val="2D1F98A6"/>
    <w:rsid w:val="2D210BD5"/>
    <w:rsid w:val="2D253503"/>
    <w:rsid w:val="2D28B10C"/>
    <w:rsid w:val="2D2AB5ED"/>
    <w:rsid w:val="2D2BC034"/>
    <w:rsid w:val="2D2D8BF2"/>
    <w:rsid w:val="2D305148"/>
    <w:rsid w:val="2D3215B6"/>
    <w:rsid w:val="2D334F5E"/>
    <w:rsid w:val="2D35D842"/>
    <w:rsid w:val="2D3E10BD"/>
    <w:rsid w:val="2D3E2829"/>
    <w:rsid w:val="2D40D35F"/>
    <w:rsid w:val="2D430AC2"/>
    <w:rsid w:val="2D43286B"/>
    <w:rsid w:val="2D46679A"/>
    <w:rsid w:val="2D47448F"/>
    <w:rsid w:val="2D47C9D6"/>
    <w:rsid w:val="2D4932F6"/>
    <w:rsid w:val="2D4D4316"/>
    <w:rsid w:val="2D5269A8"/>
    <w:rsid w:val="2D53BE6B"/>
    <w:rsid w:val="2D575CF2"/>
    <w:rsid w:val="2D5A23DD"/>
    <w:rsid w:val="2D5DEA59"/>
    <w:rsid w:val="2D5FD72D"/>
    <w:rsid w:val="2D60A812"/>
    <w:rsid w:val="2D626FF0"/>
    <w:rsid w:val="2D65F1AA"/>
    <w:rsid w:val="2D67300C"/>
    <w:rsid w:val="2D69AA8B"/>
    <w:rsid w:val="2D6B57A6"/>
    <w:rsid w:val="2D6CBE83"/>
    <w:rsid w:val="2D6D9C1E"/>
    <w:rsid w:val="2D73107D"/>
    <w:rsid w:val="2D79E42C"/>
    <w:rsid w:val="2D859D84"/>
    <w:rsid w:val="2D85C57D"/>
    <w:rsid w:val="2D8862F8"/>
    <w:rsid w:val="2D8D024A"/>
    <w:rsid w:val="2D8D48AB"/>
    <w:rsid w:val="2D934487"/>
    <w:rsid w:val="2D9B8EFA"/>
    <w:rsid w:val="2DA40B97"/>
    <w:rsid w:val="2DA687ED"/>
    <w:rsid w:val="2DA822B5"/>
    <w:rsid w:val="2DA82482"/>
    <w:rsid w:val="2DA9A46F"/>
    <w:rsid w:val="2DAC0BF0"/>
    <w:rsid w:val="2DAD895D"/>
    <w:rsid w:val="2DADFD31"/>
    <w:rsid w:val="2DB35126"/>
    <w:rsid w:val="2DB6E7E2"/>
    <w:rsid w:val="2DB88C9C"/>
    <w:rsid w:val="2DB8BE93"/>
    <w:rsid w:val="2DBB65D9"/>
    <w:rsid w:val="2DBC6AF9"/>
    <w:rsid w:val="2DBC7BFE"/>
    <w:rsid w:val="2DBECECE"/>
    <w:rsid w:val="2DC76DE3"/>
    <w:rsid w:val="2DC9725E"/>
    <w:rsid w:val="2DCC57A5"/>
    <w:rsid w:val="2DCD1C14"/>
    <w:rsid w:val="2DCE3C59"/>
    <w:rsid w:val="2DD043D6"/>
    <w:rsid w:val="2DD4C281"/>
    <w:rsid w:val="2DDE55A8"/>
    <w:rsid w:val="2DE17168"/>
    <w:rsid w:val="2DE43796"/>
    <w:rsid w:val="2DE83899"/>
    <w:rsid w:val="2DEA8055"/>
    <w:rsid w:val="2DEC8CE3"/>
    <w:rsid w:val="2DECC2AF"/>
    <w:rsid w:val="2DF27136"/>
    <w:rsid w:val="2DF7924F"/>
    <w:rsid w:val="2DFCA468"/>
    <w:rsid w:val="2DFFB223"/>
    <w:rsid w:val="2E00E323"/>
    <w:rsid w:val="2E011696"/>
    <w:rsid w:val="2E02407A"/>
    <w:rsid w:val="2E02BF39"/>
    <w:rsid w:val="2E094C34"/>
    <w:rsid w:val="2E0DD37B"/>
    <w:rsid w:val="2E12DD9E"/>
    <w:rsid w:val="2E12E7F1"/>
    <w:rsid w:val="2E1F61DF"/>
    <w:rsid w:val="2E203B23"/>
    <w:rsid w:val="2E2773AD"/>
    <w:rsid w:val="2E288BF6"/>
    <w:rsid w:val="2E2AB2D5"/>
    <w:rsid w:val="2E31D188"/>
    <w:rsid w:val="2E32F112"/>
    <w:rsid w:val="2E35F052"/>
    <w:rsid w:val="2E376197"/>
    <w:rsid w:val="2E3A0A6A"/>
    <w:rsid w:val="2E3AEF49"/>
    <w:rsid w:val="2E3C6108"/>
    <w:rsid w:val="2E3E0347"/>
    <w:rsid w:val="2E3E597A"/>
    <w:rsid w:val="2E43F7D8"/>
    <w:rsid w:val="2E47469D"/>
    <w:rsid w:val="2E47B79B"/>
    <w:rsid w:val="2E4C9E36"/>
    <w:rsid w:val="2E4E900B"/>
    <w:rsid w:val="2E56DD5F"/>
    <w:rsid w:val="2E583A93"/>
    <w:rsid w:val="2E607A2D"/>
    <w:rsid w:val="2E6501EB"/>
    <w:rsid w:val="2E6ABCA3"/>
    <w:rsid w:val="2E6BB01F"/>
    <w:rsid w:val="2E70B907"/>
    <w:rsid w:val="2E70DE8F"/>
    <w:rsid w:val="2E719AEA"/>
    <w:rsid w:val="2E783BC2"/>
    <w:rsid w:val="2E78AE31"/>
    <w:rsid w:val="2E7994A1"/>
    <w:rsid w:val="2E7D2370"/>
    <w:rsid w:val="2E7E7536"/>
    <w:rsid w:val="2E80D68A"/>
    <w:rsid w:val="2E80F03F"/>
    <w:rsid w:val="2E865A60"/>
    <w:rsid w:val="2E8B82BD"/>
    <w:rsid w:val="2E9664E7"/>
    <w:rsid w:val="2E96BD67"/>
    <w:rsid w:val="2E9AA76C"/>
    <w:rsid w:val="2EA29961"/>
    <w:rsid w:val="2EA8BC2C"/>
    <w:rsid w:val="2EAA25D0"/>
    <w:rsid w:val="2EAD570A"/>
    <w:rsid w:val="2EB04158"/>
    <w:rsid w:val="2EB08332"/>
    <w:rsid w:val="2EB4148A"/>
    <w:rsid w:val="2EB937A2"/>
    <w:rsid w:val="2EBA22B2"/>
    <w:rsid w:val="2EBBC882"/>
    <w:rsid w:val="2EBF8DD5"/>
    <w:rsid w:val="2EC217FC"/>
    <w:rsid w:val="2ECACB0E"/>
    <w:rsid w:val="2ECB648B"/>
    <w:rsid w:val="2ECF7301"/>
    <w:rsid w:val="2ED0AC6F"/>
    <w:rsid w:val="2ED1C08E"/>
    <w:rsid w:val="2ED28D79"/>
    <w:rsid w:val="2ED66C12"/>
    <w:rsid w:val="2EDB6C4D"/>
    <w:rsid w:val="2EDCD259"/>
    <w:rsid w:val="2EDD056B"/>
    <w:rsid w:val="2EDD2726"/>
    <w:rsid w:val="2EE39F24"/>
    <w:rsid w:val="2EE46790"/>
    <w:rsid w:val="2EE7047A"/>
    <w:rsid w:val="2EEC37CC"/>
    <w:rsid w:val="2EEDC39A"/>
    <w:rsid w:val="2EEF234A"/>
    <w:rsid w:val="2EF03C26"/>
    <w:rsid w:val="2EF489DC"/>
    <w:rsid w:val="2EF72187"/>
    <w:rsid w:val="2EF7DA52"/>
    <w:rsid w:val="2EFE8079"/>
    <w:rsid w:val="2F01FD3D"/>
    <w:rsid w:val="2F064F92"/>
    <w:rsid w:val="2F07325C"/>
    <w:rsid w:val="2F09BF74"/>
    <w:rsid w:val="2F173598"/>
    <w:rsid w:val="2F18FF09"/>
    <w:rsid w:val="2F1BFF04"/>
    <w:rsid w:val="2F1DC78E"/>
    <w:rsid w:val="2F23090B"/>
    <w:rsid w:val="2F25C151"/>
    <w:rsid w:val="2F26785F"/>
    <w:rsid w:val="2F26C103"/>
    <w:rsid w:val="2F27E236"/>
    <w:rsid w:val="2F2AD437"/>
    <w:rsid w:val="2F2BF09C"/>
    <w:rsid w:val="2F2F8F54"/>
    <w:rsid w:val="2F37809B"/>
    <w:rsid w:val="2F37FE42"/>
    <w:rsid w:val="2F387549"/>
    <w:rsid w:val="2F4A5E9D"/>
    <w:rsid w:val="2F4B0EE6"/>
    <w:rsid w:val="2F4B73FF"/>
    <w:rsid w:val="2F4C4E09"/>
    <w:rsid w:val="2F51049B"/>
    <w:rsid w:val="2F515264"/>
    <w:rsid w:val="2F523BE2"/>
    <w:rsid w:val="2F5879A4"/>
    <w:rsid w:val="2F5B32C6"/>
    <w:rsid w:val="2F5C15C2"/>
    <w:rsid w:val="2F60A2D7"/>
    <w:rsid w:val="2F61BC21"/>
    <w:rsid w:val="2F649E7C"/>
    <w:rsid w:val="2F679370"/>
    <w:rsid w:val="2F69C765"/>
    <w:rsid w:val="2F6ADC33"/>
    <w:rsid w:val="2F6C67C8"/>
    <w:rsid w:val="2F6E9AB2"/>
    <w:rsid w:val="2F6FA521"/>
    <w:rsid w:val="2F75D91E"/>
    <w:rsid w:val="2F77A0C0"/>
    <w:rsid w:val="2F7B054E"/>
    <w:rsid w:val="2F7C1E54"/>
    <w:rsid w:val="2F83BB2A"/>
    <w:rsid w:val="2F853DCD"/>
    <w:rsid w:val="2F874F29"/>
    <w:rsid w:val="2F8B47D3"/>
    <w:rsid w:val="2F91B129"/>
    <w:rsid w:val="2F94CB1E"/>
    <w:rsid w:val="2F96B2D8"/>
    <w:rsid w:val="2F99863E"/>
    <w:rsid w:val="2F9C1D80"/>
    <w:rsid w:val="2F9C3B9D"/>
    <w:rsid w:val="2F9CACE5"/>
    <w:rsid w:val="2F9FC772"/>
    <w:rsid w:val="2FA06F02"/>
    <w:rsid w:val="2FA4FBFD"/>
    <w:rsid w:val="2FAA93F8"/>
    <w:rsid w:val="2FAE7DAA"/>
    <w:rsid w:val="2FAEAD52"/>
    <w:rsid w:val="2FAF7909"/>
    <w:rsid w:val="2FB02F77"/>
    <w:rsid w:val="2FB84CD5"/>
    <w:rsid w:val="2FBA3FDE"/>
    <w:rsid w:val="2FBB7B8B"/>
    <w:rsid w:val="2FBB8662"/>
    <w:rsid w:val="2FBE0C07"/>
    <w:rsid w:val="2FC4D0D7"/>
    <w:rsid w:val="2FC58FF6"/>
    <w:rsid w:val="2FC93408"/>
    <w:rsid w:val="2FC9CA0E"/>
    <w:rsid w:val="2FCAC1C8"/>
    <w:rsid w:val="2FCAE065"/>
    <w:rsid w:val="2FD10B63"/>
    <w:rsid w:val="2FD74752"/>
    <w:rsid w:val="2FD868F3"/>
    <w:rsid w:val="2FDD1453"/>
    <w:rsid w:val="2FE1C74E"/>
    <w:rsid w:val="2FE8DDB3"/>
    <w:rsid w:val="2FEAF734"/>
    <w:rsid w:val="3000D22B"/>
    <w:rsid w:val="3000F783"/>
    <w:rsid w:val="3002B142"/>
    <w:rsid w:val="300932DB"/>
    <w:rsid w:val="300AB49F"/>
    <w:rsid w:val="300C37CC"/>
    <w:rsid w:val="3010FE5D"/>
    <w:rsid w:val="301283E0"/>
    <w:rsid w:val="3016A263"/>
    <w:rsid w:val="301963AA"/>
    <w:rsid w:val="3019AE07"/>
    <w:rsid w:val="301C8182"/>
    <w:rsid w:val="301D0250"/>
    <w:rsid w:val="301DBEC6"/>
    <w:rsid w:val="301E7A0E"/>
    <w:rsid w:val="3021EDD5"/>
    <w:rsid w:val="3025D51F"/>
    <w:rsid w:val="30269052"/>
    <w:rsid w:val="302C1E4D"/>
    <w:rsid w:val="30329069"/>
    <w:rsid w:val="3033C510"/>
    <w:rsid w:val="3041D0B7"/>
    <w:rsid w:val="30431443"/>
    <w:rsid w:val="30484D3C"/>
    <w:rsid w:val="30484F70"/>
    <w:rsid w:val="304CF8D3"/>
    <w:rsid w:val="30522650"/>
    <w:rsid w:val="305505F8"/>
    <w:rsid w:val="3058532D"/>
    <w:rsid w:val="3058A41C"/>
    <w:rsid w:val="305A452F"/>
    <w:rsid w:val="305AEC3F"/>
    <w:rsid w:val="305D2B11"/>
    <w:rsid w:val="305D372E"/>
    <w:rsid w:val="30612FDD"/>
    <w:rsid w:val="306194F7"/>
    <w:rsid w:val="30676761"/>
    <w:rsid w:val="30684845"/>
    <w:rsid w:val="306AC74F"/>
    <w:rsid w:val="307218FA"/>
    <w:rsid w:val="3072C5EB"/>
    <w:rsid w:val="30757015"/>
    <w:rsid w:val="30772C67"/>
    <w:rsid w:val="307D242B"/>
    <w:rsid w:val="307E1995"/>
    <w:rsid w:val="307F9A87"/>
    <w:rsid w:val="3083F9C6"/>
    <w:rsid w:val="30843174"/>
    <w:rsid w:val="30855ED0"/>
    <w:rsid w:val="30866E52"/>
    <w:rsid w:val="30889A1C"/>
    <w:rsid w:val="3089D4BC"/>
    <w:rsid w:val="308AE2E6"/>
    <w:rsid w:val="308DEE92"/>
    <w:rsid w:val="308EFA48"/>
    <w:rsid w:val="308F44D8"/>
    <w:rsid w:val="308FD9EF"/>
    <w:rsid w:val="308FF3BD"/>
    <w:rsid w:val="30945302"/>
    <w:rsid w:val="3096031B"/>
    <w:rsid w:val="3097D7D8"/>
    <w:rsid w:val="309909C4"/>
    <w:rsid w:val="309A7913"/>
    <w:rsid w:val="309B8A65"/>
    <w:rsid w:val="309DD72D"/>
    <w:rsid w:val="309FF516"/>
    <w:rsid w:val="30A06C4F"/>
    <w:rsid w:val="30A1C91E"/>
    <w:rsid w:val="30A43DE2"/>
    <w:rsid w:val="30A4E104"/>
    <w:rsid w:val="30A5C7B9"/>
    <w:rsid w:val="30A89B66"/>
    <w:rsid w:val="30A96B39"/>
    <w:rsid w:val="30ACD4F7"/>
    <w:rsid w:val="30ADAF61"/>
    <w:rsid w:val="30B17FBB"/>
    <w:rsid w:val="30B38D4C"/>
    <w:rsid w:val="30B8FE9C"/>
    <w:rsid w:val="30BC9000"/>
    <w:rsid w:val="30BF6627"/>
    <w:rsid w:val="30C2788E"/>
    <w:rsid w:val="30C45133"/>
    <w:rsid w:val="30C5A6A5"/>
    <w:rsid w:val="30C7AD0C"/>
    <w:rsid w:val="30CC542D"/>
    <w:rsid w:val="30CC89E1"/>
    <w:rsid w:val="30CF09CD"/>
    <w:rsid w:val="30CFE0F8"/>
    <w:rsid w:val="30D69A6E"/>
    <w:rsid w:val="30D9B51A"/>
    <w:rsid w:val="30E61C00"/>
    <w:rsid w:val="30EB1168"/>
    <w:rsid w:val="30ED3312"/>
    <w:rsid w:val="30EDB86E"/>
    <w:rsid w:val="30EDD862"/>
    <w:rsid w:val="30EFC82D"/>
    <w:rsid w:val="30EFDD81"/>
    <w:rsid w:val="30F7B425"/>
    <w:rsid w:val="30FBD192"/>
    <w:rsid w:val="30FC3E77"/>
    <w:rsid w:val="30FFA8D6"/>
    <w:rsid w:val="31006F9F"/>
    <w:rsid w:val="31010CD0"/>
    <w:rsid w:val="310175E3"/>
    <w:rsid w:val="31031FF0"/>
    <w:rsid w:val="31057AC9"/>
    <w:rsid w:val="3107FA33"/>
    <w:rsid w:val="310854E4"/>
    <w:rsid w:val="310A9398"/>
    <w:rsid w:val="310B52F9"/>
    <w:rsid w:val="310F0AC8"/>
    <w:rsid w:val="31101A89"/>
    <w:rsid w:val="3110AACF"/>
    <w:rsid w:val="3112090D"/>
    <w:rsid w:val="31127837"/>
    <w:rsid w:val="3112B874"/>
    <w:rsid w:val="3114C425"/>
    <w:rsid w:val="3117BE70"/>
    <w:rsid w:val="311A112F"/>
    <w:rsid w:val="31203EC5"/>
    <w:rsid w:val="31210C3A"/>
    <w:rsid w:val="31229F8B"/>
    <w:rsid w:val="3126C9FD"/>
    <w:rsid w:val="312E8564"/>
    <w:rsid w:val="313079A3"/>
    <w:rsid w:val="31319F00"/>
    <w:rsid w:val="31331002"/>
    <w:rsid w:val="3133A4A5"/>
    <w:rsid w:val="313FF542"/>
    <w:rsid w:val="3143D873"/>
    <w:rsid w:val="314C96AA"/>
    <w:rsid w:val="314D58CF"/>
    <w:rsid w:val="31505765"/>
    <w:rsid w:val="31565B55"/>
    <w:rsid w:val="315BEB4F"/>
    <w:rsid w:val="315D8A9B"/>
    <w:rsid w:val="315EDB8F"/>
    <w:rsid w:val="3163ABB3"/>
    <w:rsid w:val="31707D42"/>
    <w:rsid w:val="317F8F73"/>
    <w:rsid w:val="3180EF7F"/>
    <w:rsid w:val="3181D2E1"/>
    <w:rsid w:val="31885723"/>
    <w:rsid w:val="318A4292"/>
    <w:rsid w:val="318F8F9A"/>
    <w:rsid w:val="3191A1EA"/>
    <w:rsid w:val="3191B449"/>
    <w:rsid w:val="3192E0A3"/>
    <w:rsid w:val="3199A58A"/>
    <w:rsid w:val="319C3DF3"/>
    <w:rsid w:val="31A2F634"/>
    <w:rsid w:val="31A60639"/>
    <w:rsid w:val="31A86D39"/>
    <w:rsid w:val="31A95EE8"/>
    <w:rsid w:val="31AC6335"/>
    <w:rsid w:val="31AEDB63"/>
    <w:rsid w:val="31B411C7"/>
    <w:rsid w:val="31BABA08"/>
    <w:rsid w:val="31BAEAD5"/>
    <w:rsid w:val="31BF8A2F"/>
    <w:rsid w:val="31BF8FE7"/>
    <w:rsid w:val="31C17F1D"/>
    <w:rsid w:val="31C59033"/>
    <w:rsid w:val="31C6815E"/>
    <w:rsid w:val="31CB1EB1"/>
    <w:rsid w:val="31D109C9"/>
    <w:rsid w:val="31D1988C"/>
    <w:rsid w:val="31D30252"/>
    <w:rsid w:val="31D6F792"/>
    <w:rsid w:val="31DB0D79"/>
    <w:rsid w:val="31DD89E5"/>
    <w:rsid w:val="31DED171"/>
    <w:rsid w:val="31DFD002"/>
    <w:rsid w:val="31E01B04"/>
    <w:rsid w:val="31E403DA"/>
    <w:rsid w:val="31E57137"/>
    <w:rsid w:val="31EB68D7"/>
    <w:rsid w:val="31EBE7CD"/>
    <w:rsid w:val="31EDA61C"/>
    <w:rsid w:val="31F4F351"/>
    <w:rsid w:val="31FBD800"/>
    <w:rsid w:val="3203C4B0"/>
    <w:rsid w:val="3203EDDE"/>
    <w:rsid w:val="32065C08"/>
    <w:rsid w:val="32089478"/>
    <w:rsid w:val="3214210A"/>
    <w:rsid w:val="3216F43E"/>
    <w:rsid w:val="321F92B5"/>
    <w:rsid w:val="322094B1"/>
    <w:rsid w:val="3222A21B"/>
    <w:rsid w:val="32256524"/>
    <w:rsid w:val="322668DA"/>
    <w:rsid w:val="3227DC5B"/>
    <w:rsid w:val="322C9FF2"/>
    <w:rsid w:val="3230514B"/>
    <w:rsid w:val="323964DD"/>
    <w:rsid w:val="3239A23C"/>
    <w:rsid w:val="323A953D"/>
    <w:rsid w:val="323E1632"/>
    <w:rsid w:val="3240FCB5"/>
    <w:rsid w:val="3242B88F"/>
    <w:rsid w:val="324462E2"/>
    <w:rsid w:val="324481D0"/>
    <w:rsid w:val="324C46B5"/>
    <w:rsid w:val="324C82BD"/>
    <w:rsid w:val="324F00FB"/>
    <w:rsid w:val="325233C2"/>
    <w:rsid w:val="3255BCAA"/>
    <w:rsid w:val="32585C6F"/>
    <w:rsid w:val="325A776F"/>
    <w:rsid w:val="325BF9D5"/>
    <w:rsid w:val="325E9138"/>
    <w:rsid w:val="32621BB6"/>
    <w:rsid w:val="3264F461"/>
    <w:rsid w:val="32680180"/>
    <w:rsid w:val="3268D03A"/>
    <w:rsid w:val="326DC473"/>
    <w:rsid w:val="3270E913"/>
    <w:rsid w:val="327206FB"/>
    <w:rsid w:val="3272BFBB"/>
    <w:rsid w:val="32767E91"/>
    <w:rsid w:val="3278BC40"/>
    <w:rsid w:val="3279BB05"/>
    <w:rsid w:val="327D6780"/>
    <w:rsid w:val="32815CDF"/>
    <w:rsid w:val="32838661"/>
    <w:rsid w:val="328447E2"/>
    <w:rsid w:val="32873D0B"/>
    <w:rsid w:val="32890373"/>
    <w:rsid w:val="3289D61C"/>
    <w:rsid w:val="328BF951"/>
    <w:rsid w:val="328F5D62"/>
    <w:rsid w:val="328FB6A7"/>
    <w:rsid w:val="329010CA"/>
    <w:rsid w:val="32925108"/>
    <w:rsid w:val="329F04D4"/>
    <w:rsid w:val="32A4A844"/>
    <w:rsid w:val="32A5FFDC"/>
    <w:rsid w:val="32A7572D"/>
    <w:rsid w:val="32AAE936"/>
    <w:rsid w:val="32AC5D7D"/>
    <w:rsid w:val="32B65426"/>
    <w:rsid w:val="32B6BBAB"/>
    <w:rsid w:val="32BD247B"/>
    <w:rsid w:val="32BDF178"/>
    <w:rsid w:val="32C21192"/>
    <w:rsid w:val="32C280DB"/>
    <w:rsid w:val="32C6EB68"/>
    <w:rsid w:val="32C89E64"/>
    <w:rsid w:val="32CC6BE0"/>
    <w:rsid w:val="32D066DC"/>
    <w:rsid w:val="32D55BD3"/>
    <w:rsid w:val="32D97E81"/>
    <w:rsid w:val="32DA62EA"/>
    <w:rsid w:val="32DC572E"/>
    <w:rsid w:val="32E0594D"/>
    <w:rsid w:val="32E3EA67"/>
    <w:rsid w:val="32E86B22"/>
    <w:rsid w:val="32EBF55F"/>
    <w:rsid w:val="32EEFF4E"/>
    <w:rsid w:val="32FC4755"/>
    <w:rsid w:val="32FF037D"/>
    <w:rsid w:val="33002504"/>
    <w:rsid w:val="3302D052"/>
    <w:rsid w:val="33041BF0"/>
    <w:rsid w:val="33053384"/>
    <w:rsid w:val="330559B8"/>
    <w:rsid w:val="33058E16"/>
    <w:rsid w:val="3308A598"/>
    <w:rsid w:val="3308BD61"/>
    <w:rsid w:val="330B7AA2"/>
    <w:rsid w:val="331101EB"/>
    <w:rsid w:val="331512DE"/>
    <w:rsid w:val="331984FA"/>
    <w:rsid w:val="331C811D"/>
    <w:rsid w:val="331E64AA"/>
    <w:rsid w:val="33206626"/>
    <w:rsid w:val="33287714"/>
    <w:rsid w:val="3328772D"/>
    <w:rsid w:val="332C5750"/>
    <w:rsid w:val="3331C057"/>
    <w:rsid w:val="33427516"/>
    <w:rsid w:val="3355E19C"/>
    <w:rsid w:val="335F7633"/>
    <w:rsid w:val="3362B46D"/>
    <w:rsid w:val="33675FDF"/>
    <w:rsid w:val="33682630"/>
    <w:rsid w:val="336EC345"/>
    <w:rsid w:val="337063BB"/>
    <w:rsid w:val="337708AB"/>
    <w:rsid w:val="337B7FF5"/>
    <w:rsid w:val="337C81E2"/>
    <w:rsid w:val="337E3176"/>
    <w:rsid w:val="33828DE1"/>
    <w:rsid w:val="33856057"/>
    <w:rsid w:val="33894777"/>
    <w:rsid w:val="338FA622"/>
    <w:rsid w:val="339012E1"/>
    <w:rsid w:val="33962627"/>
    <w:rsid w:val="3396C188"/>
    <w:rsid w:val="33982383"/>
    <w:rsid w:val="339F3525"/>
    <w:rsid w:val="339F3DD5"/>
    <w:rsid w:val="33A20A58"/>
    <w:rsid w:val="33A952D0"/>
    <w:rsid w:val="33AE2A55"/>
    <w:rsid w:val="33B00C55"/>
    <w:rsid w:val="33B29487"/>
    <w:rsid w:val="33BC6976"/>
    <w:rsid w:val="33BD7013"/>
    <w:rsid w:val="33C0E7CF"/>
    <w:rsid w:val="33C21D63"/>
    <w:rsid w:val="33C56110"/>
    <w:rsid w:val="33C63CD9"/>
    <w:rsid w:val="33C8FFAB"/>
    <w:rsid w:val="33CA4402"/>
    <w:rsid w:val="33D06560"/>
    <w:rsid w:val="33D2B737"/>
    <w:rsid w:val="33D60D2A"/>
    <w:rsid w:val="33DB357D"/>
    <w:rsid w:val="33DE18E6"/>
    <w:rsid w:val="33E37F11"/>
    <w:rsid w:val="33E6FDAD"/>
    <w:rsid w:val="33EEADC4"/>
    <w:rsid w:val="33F2D918"/>
    <w:rsid w:val="33F309FD"/>
    <w:rsid w:val="33F39552"/>
    <w:rsid w:val="33F3F6FC"/>
    <w:rsid w:val="33F411CA"/>
    <w:rsid w:val="33F55552"/>
    <w:rsid w:val="33F5D86A"/>
    <w:rsid w:val="33F838C7"/>
    <w:rsid w:val="33FADEF9"/>
    <w:rsid w:val="33FB4EC0"/>
    <w:rsid w:val="340A198A"/>
    <w:rsid w:val="340D7142"/>
    <w:rsid w:val="3410D09E"/>
    <w:rsid w:val="3411158E"/>
    <w:rsid w:val="341A94B9"/>
    <w:rsid w:val="341B96C3"/>
    <w:rsid w:val="3426283B"/>
    <w:rsid w:val="34264818"/>
    <w:rsid w:val="34272C28"/>
    <w:rsid w:val="34277E37"/>
    <w:rsid w:val="3428583A"/>
    <w:rsid w:val="342928FD"/>
    <w:rsid w:val="34296C6D"/>
    <w:rsid w:val="3429B095"/>
    <w:rsid w:val="342AD2AC"/>
    <w:rsid w:val="342BF35D"/>
    <w:rsid w:val="342C38A7"/>
    <w:rsid w:val="343280D1"/>
    <w:rsid w:val="3435C15C"/>
    <w:rsid w:val="343AB437"/>
    <w:rsid w:val="343B880A"/>
    <w:rsid w:val="343F5B0F"/>
    <w:rsid w:val="34402BFC"/>
    <w:rsid w:val="3446E809"/>
    <w:rsid w:val="344F9F04"/>
    <w:rsid w:val="344FC8CA"/>
    <w:rsid w:val="34532C6B"/>
    <w:rsid w:val="34552756"/>
    <w:rsid w:val="345BD137"/>
    <w:rsid w:val="345D11D1"/>
    <w:rsid w:val="345DEB43"/>
    <w:rsid w:val="346123C6"/>
    <w:rsid w:val="346A9199"/>
    <w:rsid w:val="3474687C"/>
    <w:rsid w:val="3475D138"/>
    <w:rsid w:val="3476220A"/>
    <w:rsid w:val="3477D91C"/>
    <w:rsid w:val="347A177B"/>
    <w:rsid w:val="347C21AD"/>
    <w:rsid w:val="34856954"/>
    <w:rsid w:val="3485FA6B"/>
    <w:rsid w:val="3489DB95"/>
    <w:rsid w:val="348C7417"/>
    <w:rsid w:val="348F25AB"/>
    <w:rsid w:val="34934BC4"/>
    <w:rsid w:val="34938C11"/>
    <w:rsid w:val="3497636A"/>
    <w:rsid w:val="349A5501"/>
    <w:rsid w:val="349C1014"/>
    <w:rsid w:val="34A00092"/>
    <w:rsid w:val="34A1C46A"/>
    <w:rsid w:val="34A2A22E"/>
    <w:rsid w:val="34A9B82E"/>
    <w:rsid w:val="34ADC77E"/>
    <w:rsid w:val="34AE5170"/>
    <w:rsid w:val="34AF9719"/>
    <w:rsid w:val="34B0343C"/>
    <w:rsid w:val="34B49950"/>
    <w:rsid w:val="34C45ACB"/>
    <w:rsid w:val="34C6E932"/>
    <w:rsid w:val="34C77BDC"/>
    <w:rsid w:val="34C87F18"/>
    <w:rsid w:val="34CAAB79"/>
    <w:rsid w:val="34CF8795"/>
    <w:rsid w:val="34D57C54"/>
    <w:rsid w:val="34D8E1F4"/>
    <w:rsid w:val="34E1A68E"/>
    <w:rsid w:val="34E5D578"/>
    <w:rsid w:val="34E88FDF"/>
    <w:rsid w:val="34E9CAEE"/>
    <w:rsid w:val="34F21AB8"/>
    <w:rsid w:val="34F4B77D"/>
    <w:rsid w:val="34F6DB63"/>
    <w:rsid w:val="34F769E2"/>
    <w:rsid w:val="34F81812"/>
    <w:rsid w:val="34FEA612"/>
    <w:rsid w:val="35015852"/>
    <w:rsid w:val="35055E50"/>
    <w:rsid w:val="3505FEEB"/>
    <w:rsid w:val="35073633"/>
    <w:rsid w:val="35081FAF"/>
    <w:rsid w:val="3509EFE8"/>
    <w:rsid w:val="350DB56D"/>
    <w:rsid w:val="3514304B"/>
    <w:rsid w:val="35162ADB"/>
    <w:rsid w:val="3518C77D"/>
    <w:rsid w:val="351A0785"/>
    <w:rsid w:val="351B5859"/>
    <w:rsid w:val="3522E972"/>
    <w:rsid w:val="352B1426"/>
    <w:rsid w:val="352CF0FD"/>
    <w:rsid w:val="35370EB3"/>
    <w:rsid w:val="3537CAE8"/>
    <w:rsid w:val="353926B5"/>
    <w:rsid w:val="353BD8A0"/>
    <w:rsid w:val="353F9D63"/>
    <w:rsid w:val="35411F8D"/>
    <w:rsid w:val="3542E8BB"/>
    <w:rsid w:val="35444F5D"/>
    <w:rsid w:val="3547709B"/>
    <w:rsid w:val="354C1CB5"/>
    <w:rsid w:val="355AC9F8"/>
    <w:rsid w:val="355D7D9B"/>
    <w:rsid w:val="3560CB95"/>
    <w:rsid w:val="35628CA6"/>
    <w:rsid w:val="356A974C"/>
    <w:rsid w:val="356ADBD7"/>
    <w:rsid w:val="356B6BD2"/>
    <w:rsid w:val="356C167D"/>
    <w:rsid w:val="356F57CB"/>
    <w:rsid w:val="35739CEC"/>
    <w:rsid w:val="357954C4"/>
    <w:rsid w:val="357E7934"/>
    <w:rsid w:val="3586EB5C"/>
    <w:rsid w:val="3590E167"/>
    <w:rsid w:val="35954C02"/>
    <w:rsid w:val="359602AC"/>
    <w:rsid w:val="3599F642"/>
    <w:rsid w:val="359AEA2D"/>
    <w:rsid w:val="359BE406"/>
    <w:rsid w:val="35A068DC"/>
    <w:rsid w:val="35A1BB8F"/>
    <w:rsid w:val="35A2693F"/>
    <w:rsid w:val="35AB2509"/>
    <w:rsid w:val="35AB2A4C"/>
    <w:rsid w:val="35AC1416"/>
    <w:rsid w:val="35ACE04F"/>
    <w:rsid w:val="35B00BF5"/>
    <w:rsid w:val="35B19B2B"/>
    <w:rsid w:val="35B80772"/>
    <w:rsid w:val="35BB849E"/>
    <w:rsid w:val="35BD2C6D"/>
    <w:rsid w:val="35BDBD12"/>
    <w:rsid w:val="35BDF253"/>
    <w:rsid w:val="35C22B07"/>
    <w:rsid w:val="35C82767"/>
    <w:rsid w:val="35C9BE0E"/>
    <w:rsid w:val="35CA94C0"/>
    <w:rsid w:val="35CCFA74"/>
    <w:rsid w:val="35D1BA12"/>
    <w:rsid w:val="35D7A330"/>
    <w:rsid w:val="35DBFA1B"/>
    <w:rsid w:val="35E2B753"/>
    <w:rsid w:val="35E3A25A"/>
    <w:rsid w:val="35E4B332"/>
    <w:rsid w:val="35E4DD84"/>
    <w:rsid w:val="35E51651"/>
    <w:rsid w:val="35EFD6CF"/>
    <w:rsid w:val="35F276BB"/>
    <w:rsid w:val="35F2E8E3"/>
    <w:rsid w:val="35FC9E0B"/>
    <w:rsid w:val="35FE3B79"/>
    <w:rsid w:val="36026198"/>
    <w:rsid w:val="3602F07E"/>
    <w:rsid w:val="3605DFE4"/>
    <w:rsid w:val="361038DD"/>
    <w:rsid w:val="3610B3C9"/>
    <w:rsid w:val="36114660"/>
    <w:rsid w:val="361336E8"/>
    <w:rsid w:val="361368B4"/>
    <w:rsid w:val="3614542C"/>
    <w:rsid w:val="3615E798"/>
    <w:rsid w:val="361A3D98"/>
    <w:rsid w:val="3621592D"/>
    <w:rsid w:val="3621A4C8"/>
    <w:rsid w:val="362274EB"/>
    <w:rsid w:val="36253881"/>
    <w:rsid w:val="3626B470"/>
    <w:rsid w:val="362C6E75"/>
    <w:rsid w:val="362D022F"/>
    <w:rsid w:val="362F19D0"/>
    <w:rsid w:val="36346192"/>
    <w:rsid w:val="3635A74C"/>
    <w:rsid w:val="3635E818"/>
    <w:rsid w:val="3637E075"/>
    <w:rsid w:val="363D5AF2"/>
    <w:rsid w:val="36402CC3"/>
    <w:rsid w:val="3641162E"/>
    <w:rsid w:val="36433A40"/>
    <w:rsid w:val="36440ABD"/>
    <w:rsid w:val="3645C423"/>
    <w:rsid w:val="36478BB2"/>
    <w:rsid w:val="36502619"/>
    <w:rsid w:val="365108D2"/>
    <w:rsid w:val="3654E762"/>
    <w:rsid w:val="36564B53"/>
    <w:rsid w:val="365C1E70"/>
    <w:rsid w:val="365F4DC4"/>
    <w:rsid w:val="36686919"/>
    <w:rsid w:val="366979E7"/>
    <w:rsid w:val="366F0BCD"/>
    <w:rsid w:val="366FCC83"/>
    <w:rsid w:val="36758FCE"/>
    <w:rsid w:val="3675CE88"/>
    <w:rsid w:val="3675F8F8"/>
    <w:rsid w:val="3677E2FB"/>
    <w:rsid w:val="3679BF0D"/>
    <w:rsid w:val="3685A44C"/>
    <w:rsid w:val="3688C33B"/>
    <w:rsid w:val="36898149"/>
    <w:rsid w:val="368A5C9E"/>
    <w:rsid w:val="368D28EA"/>
    <w:rsid w:val="36905EE5"/>
    <w:rsid w:val="369888F9"/>
    <w:rsid w:val="3699C592"/>
    <w:rsid w:val="369B190E"/>
    <w:rsid w:val="369FA81E"/>
    <w:rsid w:val="36A1A95C"/>
    <w:rsid w:val="36A295FB"/>
    <w:rsid w:val="36A30694"/>
    <w:rsid w:val="36A65310"/>
    <w:rsid w:val="36AD4C51"/>
    <w:rsid w:val="36B24E0C"/>
    <w:rsid w:val="36B44DFC"/>
    <w:rsid w:val="36B55D82"/>
    <w:rsid w:val="36B849B5"/>
    <w:rsid w:val="36BA649B"/>
    <w:rsid w:val="36BA94BF"/>
    <w:rsid w:val="36BC236F"/>
    <w:rsid w:val="36BEC4A6"/>
    <w:rsid w:val="36BEE83B"/>
    <w:rsid w:val="36C50BCC"/>
    <w:rsid w:val="36CF2742"/>
    <w:rsid w:val="36CFBEDE"/>
    <w:rsid w:val="36D1CB7F"/>
    <w:rsid w:val="36D9BA06"/>
    <w:rsid w:val="36DAB428"/>
    <w:rsid w:val="36DBCD23"/>
    <w:rsid w:val="36E1FCE3"/>
    <w:rsid w:val="36E956A8"/>
    <w:rsid w:val="36EB6537"/>
    <w:rsid w:val="36EE1458"/>
    <w:rsid w:val="36F6D018"/>
    <w:rsid w:val="36F9626F"/>
    <w:rsid w:val="370437EB"/>
    <w:rsid w:val="37046C9C"/>
    <w:rsid w:val="37090417"/>
    <w:rsid w:val="370E1476"/>
    <w:rsid w:val="37115A47"/>
    <w:rsid w:val="371A32B5"/>
    <w:rsid w:val="371C0255"/>
    <w:rsid w:val="371D1909"/>
    <w:rsid w:val="372472D7"/>
    <w:rsid w:val="37278AEA"/>
    <w:rsid w:val="37284A31"/>
    <w:rsid w:val="37292DCD"/>
    <w:rsid w:val="3729F7EF"/>
    <w:rsid w:val="372C25FE"/>
    <w:rsid w:val="372F6B52"/>
    <w:rsid w:val="3731BC75"/>
    <w:rsid w:val="3739191B"/>
    <w:rsid w:val="37450917"/>
    <w:rsid w:val="3746630B"/>
    <w:rsid w:val="37501CD6"/>
    <w:rsid w:val="3751CA40"/>
    <w:rsid w:val="3751F049"/>
    <w:rsid w:val="3752BF05"/>
    <w:rsid w:val="3752DED1"/>
    <w:rsid w:val="37584D58"/>
    <w:rsid w:val="375BF284"/>
    <w:rsid w:val="375D4745"/>
    <w:rsid w:val="375D553A"/>
    <w:rsid w:val="3761EE7D"/>
    <w:rsid w:val="3762CD54"/>
    <w:rsid w:val="376A7E21"/>
    <w:rsid w:val="376F4A1E"/>
    <w:rsid w:val="376F5801"/>
    <w:rsid w:val="3771ADDA"/>
    <w:rsid w:val="37789877"/>
    <w:rsid w:val="377DEF91"/>
    <w:rsid w:val="377F998F"/>
    <w:rsid w:val="378565D8"/>
    <w:rsid w:val="378860B5"/>
    <w:rsid w:val="3789A1DC"/>
    <w:rsid w:val="378A4310"/>
    <w:rsid w:val="378A927C"/>
    <w:rsid w:val="378B9907"/>
    <w:rsid w:val="378DDAEA"/>
    <w:rsid w:val="37913085"/>
    <w:rsid w:val="3793A9D0"/>
    <w:rsid w:val="37997E2B"/>
    <w:rsid w:val="379A6275"/>
    <w:rsid w:val="37A0D714"/>
    <w:rsid w:val="37A5D177"/>
    <w:rsid w:val="37A71E80"/>
    <w:rsid w:val="37AC093E"/>
    <w:rsid w:val="37AE9433"/>
    <w:rsid w:val="37B0C2E1"/>
    <w:rsid w:val="37B56DF8"/>
    <w:rsid w:val="37B6CE69"/>
    <w:rsid w:val="37B7374B"/>
    <w:rsid w:val="37BAA1D5"/>
    <w:rsid w:val="37BC1EDC"/>
    <w:rsid w:val="37BCB2CA"/>
    <w:rsid w:val="37C14CB8"/>
    <w:rsid w:val="37C4A605"/>
    <w:rsid w:val="37C87CE8"/>
    <w:rsid w:val="37C9C8B9"/>
    <w:rsid w:val="37CBB725"/>
    <w:rsid w:val="37D163A3"/>
    <w:rsid w:val="37D313CB"/>
    <w:rsid w:val="37D7ADA8"/>
    <w:rsid w:val="37DCF97D"/>
    <w:rsid w:val="37DD60AA"/>
    <w:rsid w:val="37DE3807"/>
    <w:rsid w:val="37DFF339"/>
    <w:rsid w:val="37E132A9"/>
    <w:rsid w:val="37E14F75"/>
    <w:rsid w:val="37E65220"/>
    <w:rsid w:val="37E7552A"/>
    <w:rsid w:val="37F2B404"/>
    <w:rsid w:val="37F56589"/>
    <w:rsid w:val="37F57C10"/>
    <w:rsid w:val="37F6C829"/>
    <w:rsid w:val="37FA5013"/>
    <w:rsid w:val="37FE4DE1"/>
    <w:rsid w:val="38026CA9"/>
    <w:rsid w:val="380321DD"/>
    <w:rsid w:val="3804A651"/>
    <w:rsid w:val="38055D8F"/>
    <w:rsid w:val="3805F0DA"/>
    <w:rsid w:val="3808C7C8"/>
    <w:rsid w:val="38099C85"/>
    <w:rsid w:val="380A0C24"/>
    <w:rsid w:val="380A2CA7"/>
    <w:rsid w:val="380DF8B3"/>
    <w:rsid w:val="38100B52"/>
    <w:rsid w:val="38139B88"/>
    <w:rsid w:val="3815877A"/>
    <w:rsid w:val="3820D19C"/>
    <w:rsid w:val="3821E9A2"/>
    <w:rsid w:val="38245748"/>
    <w:rsid w:val="38266B0A"/>
    <w:rsid w:val="382CADD2"/>
    <w:rsid w:val="382EEE02"/>
    <w:rsid w:val="3836E96F"/>
    <w:rsid w:val="38393820"/>
    <w:rsid w:val="383E665C"/>
    <w:rsid w:val="383F3D3A"/>
    <w:rsid w:val="383FDF6B"/>
    <w:rsid w:val="3845B676"/>
    <w:rsid w:val="3849287B"/>
    <w:rsid w:val="384B0CB6"/>
    <w:rsid w:val="384B2A5B"/>
    <w:rsid w:val="3851B944"/>
    <w:rsid w:val="385BA39C"/>
    <w:rsid w:val="385BFCF8"/>
    <w:rsid w:val="3860BF90"/>
    <w:rsid w:val="3868CA2D"/>
    <w:rsid w:val="386B3DD6"/>
    <w:rsid w:val="386C5955"/>
    <w:rsid w:val="386E075D"/>
    <w:rsid w:val="386EFC97"/>
    <w:rsid w:val="38705575"/>
    <w:rsid w:val="38726ED5"/>
    <w:rsid w:val="387D08BE"/>
    <w:rsid w:val="38840D59"/>
    <w:rsid w:val="388F4549"/>
    <w:rsid w:val="38933435"/>
    <w:rsid w:val="389503A0"/>
    <w:rsid w:val="38956740"/>
    <w:rsid w:val="3896E179"/>
    <w:rsid w:val="3896F966"/>
    <w:rsid w:val="3899F45B"/>
    <w:rsid w:val="3899F4F7"/>
    <w:rsid w:val="389A265C"/>
    <w:rsid w:val="389BBF10"/>
    <w:rsid w:val="389DB8D3"/>
    <w:rsid w:val="38A688B4"/>
    <w:rsid w:val="38ADE6A7"/>
    <w:rsid w:val="38AE89D0"/>
    <w:rsid w:val="38B2AEA7"/>
    <w:rsid w:val="38B7DE80"/>
    <w:rsid w:val="38BB2C4D"/>
    <w:rsid w:val="38BD9A6B"/>
    <w:rsid w:val="38C01E57"/>
    <w:rsid w:val="38C19D0A"/>
    <w:rsid w:val="38C42B90"/>
    <w:rsid w:val="38C526B5"/>
    <w:rsid w:val="38CA98D6"/>
    <w:rsid w:val="38CDD1F1"/>
    <w:rsid w:val="38D2C97A"/>
    <w:rsid w:val="38D83488"/>
    <w:rsid w:val="38DBE92B"/>
    <w:rsid w:val="38DD3912"/>
    <w:rsid w:val="38DF6523"/>
    <w:rsid w:val="38E0C56F"/>
    <w:rsid w:val="38E2B93D"/>
    <w:rsid w:val="38E91F04"/>
    <w:rsid w:val="38EB7FEB"/>
    <w:rsid w:val="38EF0F5F"/>
    <w:rsid w:val="38F09EAA"/>
    <w:rsid w:val="38F2AC21"/>
    <w:rsid w:val="38F45E45"/>
    <w:rsid w:val="38F8DB46"/>
    <w:rsid w:val="38FA6E45"/>
    <w:rsid w:val="38FFBB72"/>
    <w:rsid w:val="39023582"/>
    <w:rsid w:val="390BAE94"/>
    <w:rsid w:val="390BF6DF"/>
    <w:rsid w:val="390C8E3A"/>
    <w:rsid w:val="39104BB7"/>
    <w:rsid w:val="3910D439"/>
    <w:rsid w:val="39177ED2"/>
    <w:rsid w:val="391BED52"/>
    <w:rsid w:val="391D42DF"/>
    <w:rsid w:val="39235F1D"/>
    <w:rsid w:val="392654CC"/>
    <w:rsid w:val="392695E3"/>
    <w:rsid w:val="392CDCF1"/>
    <w:rsid w:val="392F2B83"/>
    <w:rsid w:val="392FDC7B"/>
    <w:rsid w:val="3930D972"/>
    <w:rsid w:val="3931E53A"/>
    <w:rsid w:val="3935E879"/>
    <w:rsid w:val="393FEE91"/>
    <w:rsid w:val="39404A69"/>
    <w:rsid w:val="394345D1"/>
    <w:rsid w:val="394CC969"/>
    <w:rsid w:val="3957D118"/>
    <w:rsid w:val="395A0F70"/>
    <w:rsid w:val="395B5232"/>
    <w:rsid w:val="395D88C7"/>
    <w:rsid w:val="395F86EF"/>
    <w:rsid w:val="395F8FF5"/>
    <w:rsid w:val="3960A8B8"/>
    <w:rsid w:val="3962452C"/>
    <w:rsid w:val="3962AFDD"/>
    <w:rsid w:val="39665375"/>
    <w:rsid w:val="3967C670"/>
    <w:rsid w:val="3967E652"/>
    <w:rsid w:val="3969ACB3"/>
    <w:rsid w:val="396C1FF9"/>
    <w:rsid w:val="3977DBE9"/>
    <w:rsid w:val="3977E731"/>
    <w:rsid w:val="397F503C"/>
    <w:rsid w:val="398254B1"/>
    <w:rsid w:val="3986A1F4"/>
    <w:rsid w:val="3988A25C"/>
    <w:rsid w:val="3989C041"/>
    <w:rsid w:val="398EADF2"/>
    <w:rsid w:val="399A1080"/>
    <w:rsid w:val="399A287A"/>
    <w:rsid w:val="399CCB79"/>
    <w:rsid w:val="399E13FD"/>
    <w:rsid w:val="39A07615"/>
    <w:rsid w:val="39A07AC3"/>
    <w:rsid w:val="39A12DF0"/>
    <w:rsid w:val="39A4230A"/>
    <w:rsid w:val="39A45386"/>
    <w:rsid w:val="39A45B31"/>
    <w:rsid w:val="39A8CCD5"/>
    <w:rsid w:val="39AA225F"/>
    <w:rsid w:val="39AB5462"/>
    <w:rsid w:val="39ADFF62"/>
    <w:rsid w:val="39B3CD8C"/>
    <w:rsid w:val="39B53AF3"/>
    <w:rsid w:val="39B53E9D"/>
    <w:rsid w:val="39B65526"/>
    <w:rsid w:val="39BE1263"/>
    <w:rsid w:val="39C0A219"/>
    <w:rsid w:val="39C44F58"/>
    <w:rsid w:val="39C715F8"/>
    <w:rsid w:val="39C854A5"/>
    <w:rsid w:val="39CC6D29"/>
    <w:rsid w:val="39D093CF"/>
    <w:rsid w:val="39D5646C"/>
    <w:rsid w:val="39D588FD"/>
    <w:rsid w:val="39D59733"/>
    <w:rsid w:val="39D6C625"/>
    <w:rsid w:val="39DCE5C6"/>
    <w:rsid w:val="39DD3DE7"/>
    <w:rsid w:val="39E5AB89"/>
    <w:rsid w:val="39E75598"/>
    <w:rsid w:val="39E8A538"/>
    <w:rsid w:val="39EAA34E"/>
    <w:rsid w:val="39EB3F6D"/>
    <w:rsid w:val="39EFA21C"/>
    <w:rsid w:val="39F00FBB"/>
    <w:rsid w:val="39F0495A"/>
    <w:rsid w:val="39F46A5E"/>
    <w:rsid w:val="39F60A54"/>
    <w:rsid w:val="39F616DF"/>
    <w:rsid w:val="39F85E06"/>
    <w:rsid w:val="39F9DAEF"/>
    <w:rsid w:val="3A018A5F"/>
    <w:rsid w:val="3A01D7A7"/>
    <w:rsid w:val="3A04462A"/>
    <w:rsid w:val="3A049F1D"/>
    <w:rsid w:val="3A05B092"/>
    <w:rsid w:val="3A07D7AB"/>
    <w:rsid w:val="3A08804A"/>
    <w:rsid w:val="3A0FEC01"/>
    <w:rsid w:val="3A174EB1"/>
    <w:rsid w:val="3A1A93B7"/>
    <w:rsid w:val="3A200D12"/>
    <w:rsid w:val="3A21C155"/>
    <w:rsid w:val="3A23A56D"/>
    <w:rsid w:val="3A271A0D"/>
    <w:rsid w:val="3A2B0FC3"/>
    <w:rsid w:val="3A2CB11E"/>
    <w:rsid w:val="3A2EA13D"/>
    <w:rsid w:val="3A30BE19"/>
    <w:rsid w:val="3A36ABE3"/>
    <w:rsid w:val="3A38A488"/>
    <w:rsid w:val="3A41424F"/>
    <w:rsid w:val="3A420860"/>
    <w:rsid w:val="3A425618"/>
    <w:rsid w:val="3A426603"/>
    <w:rsid w:val="3A430F9A"/>
    <w:rsid w:val="3A433439"/>
    <w:rsid w:val="3A443028"/>
    <w:rsid w:val="3A474AAA"/>
    <w:rsid w:val="3A483308"/>
    <w:rsid w:val="3A4A05EC"/>
    <w:rsid w:val="3A4A57F6"/>
    <w:rsid w:val="3A4C43CF"/>
    <w:rsid w:val="3A4D756E"/>
    <w:rsid w:val="3A4E6D80"/>
    <w:rsid w:val="3A50EDA5"/>
    <w:rsid w:val="3A529ED0"/>
    <w:rsid w:val="3A539698"/>
    <w:rsid w:val="3A54038F"/>
    <w:rsid w:val="3A57407A"/>
    <w:rsid w:val="3A5D6A3E"/>
    <w:rsid w:val="3A5FF22B"/>
    <w:rsid w:val="3A60907F"/>
    <w:rsid w:val="3A60A194"/>
    <w:rsid w:val="3A62CB19"/>
    <w:rsid w:val="3A658954"/>
    <w:rsid w:val="3A692A7B"/>
    <w:rsid w:val="3A6E1246"/>
    <w:rsid w:val="3A778CFA"/>
    <w:rsid w:val="3A7B5F54"/>
    <w:rsid w:val="3A7DAB68"/>
    <w:rsid w:val="3A7FFA73"/>
    <w:rsid w:val="3A818593"/>
    <w:rsid w:val="3A882387"/>
    <w:rsid w:val="3A895722"/>
    <w:rsid w:val="3A8E41D8"/>
    <w:rsid w:val="3A8E7C82"/>
    <w:rsid w:val="3A946B85"/>
    <w:rsid w:val="3A99C885"/>
    <w:rsid w:val="3A9A9D00"/>
    <w:rsid w:val="3A9E05E3"/>
    <w:rsid w:val="3AA003BA"/>
    <w:rsid w:val="3AA1A4DB"/>
    <w:rsid w:val="3AB10779"/>
    <w:rsid w:val="3AB479EE"/>
    <w:rsid w:val="3AB4FC2B"/>
    <w:rsid w:val="3AB6DE63"/>
    <w:rsid w:val="3AB72FF9"/>
    <w:rsid w:val="3AB796CF"/>
    <w:rsid w:val="3ABE8AC5"/>
    <w:rsid w:val="3ABEE3F7"/>
    <w:rsid w:val="3ABFE8BC"/>
    <w:rsid w:val="3AC34C4F"/>
    <w:rsid w:val="3ACC13C1"/>
    <w:rsid w:val="3ACCC91E"/>
    <w:rsid w:val="3ACCF2D2"/>
    <w:rsid w:val="3AD1A38E"/>
    <w:rsid w:val="3AD7BBFA"/>
    <w:rsid w:val="3AD9C779"/>
    <w:rsid w:val="3ADEF602"/>
    <w:rsid w:val="3AE03F2E"/>
    <w:rsid w:val="3AE07202"/>
    <w:rsid w:val="3AE2E558"/>
    <w:rsid w:val="3AE8E167"/>
    <w:rsid w:val="3AEA236B"/>
    <w:rsid w:val="3AEAD1F6"/>
    <w:rsid w:val="3AEC999A"/>
    <w:rsid w:val="3AECA551"/>
    <w:rsid w:val="3AF137C4"/>
    <w:rsid w:val="3AF1CB0E"/>
    <w:rsid w:val="3AF1D414"/>
    <w:rsid w:val="3AF3AF17"/>
    <w:rsid w:val="3AF83350"/>
    <w:rsid w:val="3AF856C6"/>
    <w:rsid w:val="3AF937D4"/>
    <w:rsid w:val="3AF94353"/>
    <w:rsid w:val="3AFE94A5"/>
    <w:rsid w:val="3B03FEFA"/>
    <w:rsid w:val="3B0412B0"/>
    <w:rsid w:val="3B04859E"/>
    <w:rsid w:val="3B0A9362"/>
    <w:rsid w:val="3B0B210E"/>
    <w:rsid w:val="3B0C123F"/>
    <w:rsid w:val="3B130A67"/>
    <w:rsid w:val="3B13C344"/>
    <w:rsid w:val="3B1826D6"/>
    <w:rsid w:val="3B19D051"/>
    <w:rsid w:val="3B19E95A"/>
    <w:rsid w:val="3B241F97"/>
    <w:rsid w:val="3B2DE7EC"/>
    <w:rsid w:val="3B2F7F83"/>
    <w:rsid w:val="3B322617"/>
    <w:rsid w:val="3B33412F"/>
    <w:rsid w:val="3B445731"/>
    <w:rsid w:val="3B456141"/>
    <w:rsid w:val="3B4B3F51"/>
    <w:rsid w:val="3B4C8F21"/>
    <w:rsid w:val="3B4F2960"/>
    <w:rsid w:val="3B4F5C4B"/>
    <w:rsid w:val="3B5569CB"/>
    <w:rsid w:val="3B58B11C"/>
    <w:rsid w:val="3B5F3BB1"/>
    <w:rsid w:val="3B5F8490"/>
    <w:rsid w:val="3B61A1D3"/>
    <w:rsid w:val="3B61FDCF"/>
    <w:rsid w:val="3B68BCC6"/>
    <w:rsid w:val="3B6B85B4"/>
    <w:rsid w:val="3B6E1998"/>
    <w:rsid w:val="3B70B2F3"/>
    <w:rsid w:val="3B7334BD"/>
    <w:rsid w:val="3B817BEA"/>
    <w:rsid w:val="3B8303AC"/>
    <w:rsid w:val="3B834440"/>
    <w:rsid w:val="3B84A9E4"/>
    <w:rsid w:val="3B8A76D7"/>
    <w:rsid w:val="3B8ADD19"/>
    <w:rsid w:val="3B8FAA2B"/>
    <w:rsid w:val="3B919370"/>
    <w:rsid w:val="3B938602"/>
    <w:rsid w:val="3B9387DA"/>
    <w:rsid w:val="3B9CA40D"/>
    <w:rsid w:val="3B9CFD91"/>
    <w:rsid w:val="3BA383D6"/>
    <w:rsid w:val="3BA9444E"/>
    <w:rsid w:val="3BAA118E"/>
    <w:rsid w:val="3BAE2D74"/>
    <w:rsid w:val="3BAEBB4F"/>
    <w:rsid w:val="3BB18A82"/>
    <w:rsid w:val="3BB3122A"/>
    <w:rsid w:val="3BB55CAC"/>
    <w:rsid w:val="3BB64E7F"/>
    <w:rsid w:val="3BBCB771"/>
    <w:rsid w:val="3BBD4125"/>
    <w:rsid w:val="3BBD5863"/>
    <w:rsid w:val="3BC09732"/>
    <w:rsid w:val="3BC5B1DC"/>
    <w:rsid w:val="3BC6E846"/>
    <w:rsid w:val="3BCDF9B5"/>
    <w:rsid w:val="3BCE8F56"/>
    <w:rsid w:val="3BD516F6"/>
    <w:rsid w:val="3BD52F6B"/>
    <w:rsid w:val="3BD8C76F"/>
    <w:rsid w:val="3BE37693"/>
    <w:rsid w:val="3BE39452"/>
    <w:rsid w:val="3BE46188"/>
    <w:rsid w:val="3BE56CE5"/>
    <w:rsid w:val="3BE74ED1"/>
    <w:rsid w:val="3BF174EF"/>
    <w:rsid w:val="3BF480A2"/>
    <w:rsid w:val="3BF70A5F"/>
    <w:rsid w:val="3BFC96E7"/>
    <w:rsid w:val="3BFCF1CF"/>
    <w:rsid w:val="3BFDBBFB"/>
    <w:rsid w:val="3BFF6E1B"/>
    <w:rsid w:val="3C0069BF"/>
    <w:rsid w:val="3C01FC2F"/>
    <w:rsid w:val="3C0230BA"/>
    <w:rsid w:val="3C026F12"/>
    <w:rsid w:val="3C038A56"/>
    <w:rsid w:val="3C0549C7"/>
    <w:rsid w:val="3C069C21"/>
    <w:rsid w:val="3C09E089"/>
    <w:rsid w:val="3C0CC397"/>
    <w:rsid w:val="3C0D1C84"/>
    <w:rsid w:val="3C0DF9FD"/>
    <w:rsid w:val="3C106504"/>
    <w:rsid w:val="3C112E03"/>
    <w:rsid w:val="3C1389ED"/>
    <w:rsid w:val="3C1450C6"/>
    <w:rsid w:val="3C17202D"/>
    <w:rsid w:val="3C17B89E"/>
    <w:rsid w:val="3C17DF39"/>
    <w:rsid w:val="3C19E99F"/>
    <w:rsid w:val="3C1BCE7B"/>
    <w:rsid w:val="3C1CB799"/>
    <w:rsid w:val="3C1D250C"/>
    <w:rsid w:val="3C1E55BD"/>
    <w:rsid w:val="3C1F0E66"/>
    <w:rsid w:val="3C1FE8EA"/>
    <w:rsid w:val="3C217D90"/>
    <w:rsid w:val="3C263032"/>
    <w:rsid w:val="3C270DDD"/>
    <w:rsid w:val="3C27367B"/>
    <w:rsid w:val="3C27B827"/>
    <w:rsid w:val="3C29F291"/>
    <w:rsid w:val="3C2D5B90"/>
    <w:rsid w:val="3C2EE226"/>
    <w:rsid w:val="3C3187E6"/>
    <w:rsid w:val="3C35DE79"/>
    <w:rsid w:val="3C35FCB1"/>
    <w:rsid w:val="3C3C53A9"/>
    <w:rsid w:val="3C3EBD2D"/>
    <w:rsid w:val="3C43879E"/>
    <w:rsid w:val="3C4DCF53"/>
    <w:rsid w:val="3C50DE93"/>
    <w:rsid w:val="3C535CF9"/>
    <w:rsid w:val="3C583632"/>
    <w:rsid w:val="3C58C8B7"/>
    <w:rsid w:val="3C62C3A7"/>
    <w:rsid w:val="3C63CB2C"/>
    <w:rsid w:val="3C6467F2"/>
    <w:rsid w:val="3C65175C"/>
    <w:rsid w:val="3C69D97C"/>
    <w:rsid w:val="3C6D5721"/>
    <w:rsid w:val="3C7424D8"/>
    <w:rsid w:val="3C745E40"/>
    <w:rsid w:val="3C7A65C1"/>
    <w:rsid w:val="3C7DB013"/>
    <w:rsid w:val="3C7F6119"/>
    <w:rsid w:val="3C807F0D"/>
    <w:rsid w:val="3C812E56"/>
    <w:rsid w:val="3C838B12"/>
    <w:rsid w:val="3C85AF25"/>
    <w:rsid w:val="3C89A385"/>
    <w:rsid w:val="3C8A4F4F"/>
    <w:rsid w:val="3C9247FB"/>
    <w:rsid w:val="3C983ECF"/>
    <w:rsid w:val="3C9AE86C"/>
    <w:rsid w:val="3C9F2716"/>
    <w:rsid w:val="3CA2BD85"/>
    <w:rsid w:val="3CA7A12E"/>
    <w:rsid w:val="3CA874CC"/>
    <w:rsid w:val="3CA9EED5"/>
    <w:rsid w:val="3CB688FC"/>
    <w:rsid w:val="3CB7DB90"/>
    <w:rsid w:val="3CBAE17C"/>
    <w:rsid w:val="3CBDBA66"/>
    <w:rsid w:val="3CC2EFF1"/>
    <w:rsid w:val="3CC974A0"/>
    <w:rsid w:val="3CC9FD13"/>
    <w:rsid w:val="3CCBE234"/>
    <w:rsid w:val="3CCE4F68"/>
    <w:rsid w:val="3CD0F6F1"/>
    <w:rsid w:val="3CD2C5F6"/>
    <w:rsid w:val="3CD36BE9"/>
    <w:rsid w:val="3CD48C50"/>
    <w:rsid w:val="3CD6C50F"/>
    <w:rsid w:val="3CDD4E93"/>
    <w:rsid w:val="3CE16EE2"/>
    <w:rsid w:val="3CE2FF60"/>
    <w:rsid w:val="3CE5D4E9"/>
    <w:rsid w:val="3CE909D9"/>
    <w:rsid w:val="3CEE10DE"/>
    <w:rsid w:val="3CEE3D25"/>
    <w:rsid w:val="3CF4F5CD"/>
    <w:rsid w:val="3CF59A18"/>
    <w:rsid w:val="3CF70103"/>
    <w:rsid w:val="3CF96974"/>
    <w:rsid w:val="3CFBE241"/>
    <w:rsid w:val="3CFE3BD5"/>
    <w:rsid w:val="3CFE3C40"/>
    <w:rsid w:val="3D024984"/>
    <w:rsid w:val="3D07450F"/>
    <w:rsid w:val="3D09E9F9"/>
    <w:rsid w:val="3D0A7002"/>
    <w:rsid w:val="3D0AB0AD"/>
    <w:rsid w:val="3D12B37B"/>
    <w:rsid w:val="3D180B37"/>
    <w:rsid w:val="3D1912B5"/>
    <w:rsid w:val="3D1A9E09"/>
    <w:rsid w:val="3D1E7113"/>
    <w:rsid w:val="3D25D481"/>
    <w:rsid w:val="3D27238E"/>
    <w:rsid w:val="3D2AE357"/>
    <w:rsid w:val="3D3335C1"/>
    <w:rsid w:val="3D3397D3"/>
    <w:rsid w:val="3D33F6D6"/>
    <w:rsid w:val="3D39F25D"/>
    <w:rsid w:val="3D3D71FA"/>
    <w:rsid w:val="3D413A3C"/>
    <w:rsid w:val="3D4395C9"/>
    <w:rsid w:val="3D4605E9"/>
    <w:rsid w:val="3D48F1DF"/>
    <w:rsid w:val="3D49441D"/>
    <w:rsid w:val="3D4AAE66"/>
    <w:rsid w:val="3D4C9B42"/>
    <w:rsid w:val="3D5109B2"/>
    <w:rsid w:val="3D527A0F"/>
    <w:rsid w:val="3D553766"/>
    <w:rsid w:val="3D55B9A5"/>
    <w:rsid w:val="3D56E900"/>
    <w:rsid w:val="3D5F4F90"/>
    <w:rsid w:val="3D669F2F"/>
    <w:rsid w:val="3D685EDB"/>
    <w:rsid w:val="3D697470"/>
    <w:rsid w:val="3D6AF93F"/>
    <w:rsid w:val="3D6E4813"/>
    <w:rsid w:val="3D6E8A43"/>
    <w:rsid w:val="3D70140A"/>
    <w:rsid w:val="3D705A20"/>
    <w:rsid w:val="3D75DAD5"/>
    <w:rsid w:val="3D80681C"/>
    <w:rsid w:val="3D84F80B"/>
    <w:rsid w:val="3D880A79"/>
    <w:rsid w:val="3D89358B"/>
    <w:rsid w:val="3D8CF061"/>
    <w:rsid w:val="3D8DA9D1"/>
    <w:rsid w:val="3D8E8D50"/>
    <w:rsid w:val="3D8E8F34"/>
    <w:rsid w:val="3D8F6FF0"/>
    <w:rsid w:val="3D910943"/>
    <w:rsid w:val="3D91E68E"/>
    <w:rsid w:val="3D92F5C7"/>
    <w:rsid w:val="3D97016C"/>
    <w:rsid w:val="3D9DCD5D"/>
    <w:rsid w:val="3D9FAA6C"/>
    <w:rsid w:val="3DA0AE32"/>
    <w:rsid w:val="3DAA1083"/>
    <w:rsid w:val="3DB4DF2C"/>
    <w:rsid w:val="3DBC9027"/>
    <w:rsid w:val="3DC36116"/>
    <w:rsid w:val="3DC5F292"/>
    <w:rsid w:val="3DC61D44"/>
    <w:rsid w:val="3DC70C0D"/>
    <w:rsid w:val="3DC99AF4"/>
    <w:rsid w:val="3DD0E1DF"/>
    <w:rsid w:val="3DD1BDBC"/>
    <w:rsid w:val="3DD3E6E9"/>
    <w:rsid w:val="3DD8E316"/>
    <w:rsid w:val="3DDA9E57"/>
    <w:rsid w:val="3DDE7C1B"/>
    <w:rsid w:val="3DDEBE4E"/>
    <w:rsid w:val="3DE33EB1"/>
    <w:rsid w:val="3DE439AB"/>
    <w:rsid w:val="3DE4D5CC"/>
    <w:rsid w:val="3DE6F985"/>
    <w:rsid w:val="3DE77B75"/>
    <w:rsid w:val="3DEA6B93"/>
    <w:rsid w:val="3DEBF3FC"/>
    <w:rsid w:val="3DED1DFE"/>
    <w:rsid w:val="3DF24C1E"/>
    <w:rsid w:val="3DF5FBEE"/>
    <w:rsid w:val="3DF60092"/>
    <w:rsid w:val="3DF69E45"/>
    <w:rsid w:val="3DF9ECF3"/>
    <w:rsid w:val="3DFB04BE"/>
    <w:rsid w:val="3DFD174A"/>
    <w:rsid w:val="3E005AA4"/>
    <w:rsid w:val="3E019868"/>
    <w:rsid w:val="3E0B63A6"/>
    <w:rsid w:val="3E0BAD06"/>
    <w:rsid w:val="3E0BCE13"/>
    <w:rsid w:val="3E124EB1"/>
    <w:rsid w:val="3E137A1C"/>
    <w:rsid w:val="3E13EB0A"/>
    <w:rsid w:val="3E143F60"/>
    <w:rsid w:val="3E1818A8"/>
    <w:rsid w:val="3E213CB7"/>
    <w:rsid w:val="3E2AFAE0"/>
    <w:rsid w:val="3E31086C"/>
    <w:rsid w:val="3E343D92"/>
    <w:rsid w:val="3E3A6E57"/>
    <w:rsid w:val="3E3AB2C1"/>
    <w:rsid w:val="3E3F0B33"/>
    <w:rsid w:val="3E47EE40"/>
    <w:rsid w:val="3E491453"/>
    <w:rsid w:val="3E4A9E3B"/>
    <w:rsid w:val="3E52B958"/>
    <w:rsid w:val="3E591BBF"/>
    <w:rsid w:val="3E5A55E0"/>
    <w:rsid w:val="3E5C7F5B"/>
    <w:rsid w:val="3E60FCF8"/>
    <w:rsid w:val="3E61F544"/>
    <w:rsid w:val="3E67F1B0"/>
    <w:rsid w:val="3E6A9F2F"/>
    <w:rsid w:val="3E6F0D8C"/>
    <w:rsid w:val="3E742523"/>
    <w:rsid w:val="3E750C4D"/>
    <w:rsid w:val="3E752E31"/>
    <w:rsid w:val="3E7567B1"/>
    <w:rsid w:val="3E7D6D5E"/>
    <w:rsid w:val="3E80C1F7"/>
    <w:rsid w:val="3E818B50"/>
    <w:rsid w:val="3E871BAA"/>
    <w:rsid w:val="3E87CB75"/>
    <w:rsid w:val="3E884F7A"/>
    <w:rsid w:val="3E8886AD"/>
    <w:rsid w:val="3E88EF19"/>
    <w:rsid w:val="3E891168"/>
    <w:rsid w:val="3E89D2D9"/>
    <w:rsid w:val="3E92518A"/>
    <w:rsid w:val="3E95179A"/>
    <w:rsid w:val="3E9D7712"/>
    <w:rsid w:val="3EA0F174"/>
    <w:rsid w:val="3EA5BA5A"/>
    <w:rsid w:val="3EAD5584"/>
    <w:rsid w:val="3EAE1879"/>
    <w:rsid w:val="3EAE802A"/>
    <w:rsid w:val="3EB3EDB4"/>
    <w:rsid w:val="3EBF6335"/>
    <w:rsid w:val="3EBFC103"/>
    <w:rsid w:val="3EC3915B"/>
    <w:rsid w:val="3EC47B7D"/>
    <w:rsid w:val="3EC51DE5"/>
    <w:rsid w:val="3ECBC764"/>
    <w:rsid w:val="3ED091A2"/>
    <w:rsid w:val="3ED0AB4B"/>
    <w:rsid w:val="3ED1F673"/>
    <w:rsid w:val="3ED260F3"/>
    <w:rsid w:val="3ED45E9C"/>
    <w:rsid w:val="3ED82D96"/>
    <w:rsid w:val="3EDF27AB"/>
    <w:rsid w:val="3EDFD8B3"/>
    <w:rsid w:val="3EE14734"/>
    <w:rsid w:val="3EE2BF99"/>
    <w:rsid w:val="3EE78BBD"/>
    <w:rsid w:val="3EF02A55"/>
    <w:rsid w:val="3EF370CE"/>
    <w:rsid w:val="3EF5F137"/>
    <w:rsid w:val="3EFBBDCB"/>
    <w:rsid w:val="3EFC19FB"/>
    <w:rsid w:val="3EFDF4FD"/>
    <w:rsid w:val="3F016F17"/>
    <w:rsid w:val="3F0369B6"/>
    <w:rsid w:val="3F09F8AA"/>
    <w:rsid w:val="3F0B75E3"/>
    <w:rsid w:val="3F0C15AB"/>
    <w:rsid w:val="3F0D6A41"/>
    <w:rsid w:val="3F1051D5"/>
    <w:rsid w:val="3F16C15A"/>
    <w:rsid w:val="3F1786D2"/>
    <w:rsid w:val="3F19589F"/>
    <w:rsid w:val="3F1CE67D"/>
    <w:rsid w:val="3F1DAF33"/>
    <w:rsid w:val="3F2442F8"/>
    <w:rsid w:val="3F28ED6F"/>
    <w:rsid w:val="3F2CB935"/>
    <w:rsid w:val="3F2D70DB"/>
    <w:rsid w:val="3F2F0B4F"/>
    <w:rsid w:val="3F34D3E4"/>
    <w:rsid w:val="3F3C7A2C"/>
    <w:rsid w:val="3F3DD846"/>
    <w:rsid w:val="3F3FEB37"/>
    <w:rsid w:val="3F447B91"/>
    <w:rsid w:val="3F49A5D6"/>
    <w:rsid w:val="3F4D691D"/>
    <w:rsid w:val="3F55D4CC"/>
    <w:rsid w:val="3F561C33"/>
    <w:rsid w:val="3F57CEAD"/>
    <w:rsid w:val="3F58BF75"/>
    <w:rsid w:val="3F5C2EA6"/>
    <w:rsid w:val="3F5D77F9"/>
    <w:rsid w:val="3F5DBDBC"/>
    <w:rsid w:val="3F605EE4"/>
    <w:rsid w:val="3F61E266"/>
    <w:rsid w:val="3F660556"/>
    <w:rsid w:val="3F66EBCE"/>
    <w:rsid w:val="3F6D412B"/>
    <w:rsid w:val="3F71C28D"/>
    <w:rsid w:val="3F75A3B3"/>
    <w:rsid w:val="3F7CF89C"/>
    <w:rsid w:val="3F7F8BD3"/>
    <w:rsid w:val="3F8339A1"/>
    <w:rsid w:val="3F842A6B"/>
    <w:rsid w:val="3F857015"/>
    <w:rsid w:val="3F863495"/>
    <w:rsid w:val="3F8E6B7A"/>
    <w:rsid w:val="3F8EA8B4"/>
    <w:rsid w:val="3F8F0DDB"/>
    <w:rsid w:val="3F8FD94B"/>
    <w:rsid w:val="3F91239D"/>
    <w:rsid w:val="3F932B93"/>
    <w:rsid w:val="3F93CBA4"/>
    <w:rsid w:val="3F972566"/>
    <w:rsid w:val="3F9AE337"/>
    <w:rsid w:val="3F9BE8B7"/>
    <w:rsid w:val="3F9EA763"/>
    <w:rsid w:val="3FA0FDF3"/>
    <w:rsid w:val="3FA40832"/>
    <w:rsid w:val="3FA46206"/>
    <w:rsid w:val="3FA4F962"/>
    <w:rsid w:val="3FA631EF"/>
    <w:rsid w:val="3FB3EA69"/>
    <w:rsid w:val="3FB6C5BA"/>
    <w:rsid w:val="3FB77A34"/>
    <w:rsid w:val="3FB9E2D4"/>
    <w:rsid w:val="3FB9F7ED"/>
    <w:rsid w:val="3FBD0CB6"/>
    <w:rsid w:val="3FC02235"/>
    <w:rsid w:val="3FC0B9CA"/>
    <w:rsid w:val="3FC32BC8"/>
    <w:rsid w:val="3FC503A3"/>
    <w:rsid w:val="3FC52CD5"/>
    <w:rsid w:val="3FC6C79F"/>
    <w:rsid w:val="3FC96DC4"/>
    <w:rsid w:val="3FD2225F"/>
    <w:rsid w:val="3FD64E1C"/>
    <w:rsid w:val="3FD74BF7"/>
    <w:rsid w:val="3FD8FF58"/>
    <w:rsid w:val="3FE47711"/>
    <w:rsid w:val="3FE79D1C"/>
    <w:rsid w:val="3FED3858"/>
    <w:rsid w:val="3FF233F7"/>
    <w:rsid w:val="3FF2F095"/>
    <w:rsid w:val="3FF77850"/>
    <w:rsid w:val="3FF9BB07"/>
    <w:rsid w:val="3FFD4FCD"/>
    <w:rsid w:val="4000F8BD"/>
    <w:rsid w:val="40017B7F"/>
    <w:rsid w:val="40057F68"/>
    <w:rsid w:val="400A104D"/>
    <w:rsid w:val="400C1634"/>
    <w:rsid w:val="40116826"/>
    <w:rsid w:val="4012543E"/>
    <w:rsid w:val="40163A53"/>
    <w:rsid w:val="4016CD8C"/>
    <w:rsid w:val="4016E122"/>
    <w:rsid w:val="401D4E95"/>
    <w:rsid w:val="401FBC60"/>
    <w:rsid w:val="4023E912"/>
    <w:rsid w:val="402D2C1F"/>
    <w:rsid w:val="4030E7FB"/>
    <w:rsid w:val="40337653"/>
    <w:rsid w:val="40385EED"/>
    <w:rsid w:val="403CA8CE"/>
    <w:rsid w:val="403FAAA9"/>
    <w:rsid w:val="403FC69A"/>
    <w:rsid w:val="40401B71"/>
    <w:rsid w:val="4041138B"/>
    <w:rsid w:val="4041567F"/>
    <w:rsid w:val="4044E702"/>
    <w:rsid w:val="40488848"/>
    <w:rsid w:val="40496853"/>
    <w:rsid w:val="405474A0"/>
    <w:rsid w:val="405B720F"/>
    <w:rsid w:val="405B8E78"/>
    <w:rsid w:val="406028DB"/>
    <w:rsid w:val="40698F69"/>
    <w:rsid w:val="4069E7DE"/>
    <w:rsid w:val="406B05DA"/>
    <w:rsid w:val="406DFBB7"/>
    <w:rsid w:val="40726565"/>
    <w:rsid w:val="4072B332"/>
    <w:rsid w:val="4074E08C"/>
    <w:rsid w:val="40757B65"/>
    <w:rsid w:val="4076DD1D"/>
    <w:rsid w:val="407D0D57"/>
    <w:rsid w:val="40811589"/>
    <w:rsid w:val="4082D231"/>
    <w:rsid w:val="40841118"/>
    <w:rsid w:val="40864109"/>
    <w:rsid w:val="40898B28"/>
    <w:rsid w:val="408CC315"/>
    <w:rsid w:val="408F2D58"/>
    <w:rsid w:val="409186E7"/>
    <w:rsid w:val="4092DB99"/>
    <w:rsid w:val="40985B13"/>
    <w:rsid w:val="40995CD2"/>
    <w:rsid w:val="409C7D08"/>
    <w:rsid w:val="40A020CD"/>
    <w:rsid w:val="40A3F807"/>
    <w:rsid w:val="40ABCC51"/>
    <w:rsid w:val="40AC2236"/>
    <w:rsid w:val="40B3B5D8"/>
    <w:rsid w:val="40C05094"/>
    <w:rsid w:val="40C7A8FC"/>
    <w:rsid w:val="40C9911A"/>
    <w:rsid w:val="40CA90CD"/>
    <w:rsid w:val="40CB3B56"/>
    <w:rsid w:val="40CC304E"/>
    <w:rsid w:val="40CCE868"/>
    <w:rsid w:val="40CCE971"/>
    <w:rsid w:val="40D57867"/>
    <w:rsid w:val="40D9103D"/>
    <w:rsid w:val="40DBE986"/>
    <w:rsid w:val="40E2FF44"/>
    <w:rsid w:val="40E6AD6E"/>
    <w:rsid w:val="40EB9F11"/>
    <w:rsid w:val="40EF5981"/>
    <w:rsid w:val="40F324BD"/>
    <w:rsid w:val="40F430E9"/>
    <w:rsid w:val="40F89F1A"/>
    <w:rsid w:val="40F9D002"/>
    <w:rsid w:val="40FDEC61"/>
    <w:rsid w:val="41031E21"/>
    <w:rsid w:val="4107584E"/>
    <w:rsid w:val="410A80ED"/>
    <w:rsid w:val="410C926B"/>
    <w:rsid w:val="410D5D27"/>
    <w:rsid w:val="410D9E6E"/>
    <w:rsid w:val="4110D111"/>
    <w:rsid w:val="4114904A"/>
    <w:rsid w:val="41159C6B"/>
    <w:rsid w:val="4116D1DF"/>
    <w:rsid w:val="411791DB"/>
    <w:rsid w:val="41182AE1"/>
    <w:rsid w:val="4118A21B"/>
    <w:rsid w:val="411B46E8"/>
    <w:rsid w:val="411E71B3"/>
    <w:rsid w:val="411E80EF"/>
    <w:rsid w:val="411E919E"/>
    <w:rsid w:val="41202B09"/>
    <w:rsid w:val="412ABF06"/>
    <w:rsid w:val="413364DE"/>
    <w:rsid w:val="413D3B34"/>
    <w:rsid w:val="4142D5C9"/>
    <w:rsid w:val="414591CD"/>
    <w:rsid w:val="41459A32"/>
    <w:rsid w:val="414CA551"/>
    <w:rsid w:val="414E4D0B"/>
    <w:rsid w:val="414F3659"/>
    <w:rsid w:val="414FBACA"/>
    <w:rsid w:val="4152E133"/>
    <w:rsid w:val="415401B3"/>
    <w:rsid w:val="415645F0"/>
    <w:rsid w:val="415770EB"/>
    <w:rsid w:val="41592205"/>
    <w:rsid w:val="415DF60D"/>
    <w:rsid w:val="416113D9"/>
    <w:rsid w:val="416354FE"/>
    <w:rsid w:val="416C216F"/>
    <w:rsid w:val="416D8135"/>
    <w:rsid w:val="41744D13"/>
    <w:rsid w:val="4175A018"/>
    <w:rsid w:val="418234D8"/>
    <w:rsid w:val="418C8C33"/>
    <w:rsid w:val="418DB640"/>
    <w:rsid w:val="41919F3E"/>
    <w:rsid w:val="41931778"/>
    <w:rsid w:val="41944A2E"/>
    <w:rsid w:val="4199AF41"/>
    <w:rsid w:val="419DEBF8"/>
    <w:rsid w:val="41A1A2FA"/>
    <w:rsid w:val="41A39E93"/>
    <w:rsid w:val="41A52205"/>
    <w:rsid w:val="41AB5743"/>
    <w:rsid w:val="41B0038B"/>
    <w:rsid w:val="41B3B902"/>
    <w:rsid w:val="41B440EF"/>
    <w:rsid w:val="41B601B3"/>
    <w:rsid w:val="41C28CF5"/>
    <w:rsid w:val="41C7006C"/>
    <w:rsid w:val="41C72626"/>
    <w:rsid w:val="41CC0397"/>
    <w:rsid w:val="41CCDCA6"/>
    <w:rsid w:val="41CD1B84"/>
    <w:rsid w:val="41CD87ED"/>
    <w:rsid w:val="41D28544"/>
    <w:rsid w:val="41D40339"/>
    <w:rsid w:val="41D40D43"/>
    <w:rsid w:val="41D6EE68"/>
    <w:rsid w:val="41D840A7"/>
    <w:rsid w:val="41DDCBB5"/>
    <w:rsid w:val="41E211A9"/>
    <w:rsid w:val="41E761D9"/>
    <w:rsid w:val="41E78F4C"/>
    <w:rsid w:val="41E8F8F3"/>
    <w:rsid w:val="41EB85F1"/>
    <w:rsid w:val="41ED358D"/>
    <w:rsid w:val="41EFEDEF"/>
    <w:rsid w:val="41F8A2F8"/>
    <w:rsid w:val="41F9657A"/>
    <w:rsid w:val="41FA133E"/>
    <w:rsid w:val="42002D84"/>
    <w:rsid w:val="4203AB56"/>
    <w:rsid w:val="42045023"/>
    <w:rsid w:val="42073449"/>
    <w:rsid w:val="420B792A"/>
    <w:rsid w:val="420C3CD7"/>
    <w:rsid w:val="420D3440"/>
    <w:rsid w:val="420F6FBF"/>
    <w:rsid w:val="4210A81D"/>
    <w:rsid w:val="4213CDDA"/>
    <w:rsid w:val="4214141D"/>
    <w:rsid w:val="4219F5EC"/>
    <w:rsid w:val="421D83F1"/>
    <w:rsid w:val="42207AA0"/>
    <w:rsid w:val="4224201F"/>
    <w:rsid w:val="4228254E"/>
    <w:rsid w:val="42282C49"/>
    <w:rsid w:val="422BF9B8"/>
    <w:rsid w:val="42311832"/>
    <w:rsid w:val="4235E5C5"/>
    <w:rsid w:val="42364608"/>
    <w:rsid w:val="423705CC"/>
    <w:rsid w:val="423B41CD"/>
    <w:rsid w:val="423C7AC6"/>
    <w:rsid w:val="423E3FD6"/>
    <w:rsid w:val="423FB5A6"/>
    <w:rsid w:val="42480850"/>
    <w:rsid w:val="42483F5A"/>
    <w:rsid w:val="4249BBA0"/>
    <w:rsid w:val="425094A3"/>
    <w:rsid w:val="425148C9"/>
    <w:rsid w:val="425963D3"/>
    <w:rsid w:val="425C8D52"/>
    <w:rsid w:val="426013A2"/>
    <w:rsid w:val="4263EC68"/>
    <w:rsid w:val="4267D058"/>
    <w:rsid w:val="426A7E70"/>
    <w:rsid w:val="426CC1B6"/>
    <w:rsid w:val="426EC4F8"/>
    <w:rsid w:val="42723DA0"/>
    <w:rsid w:val="42756B2E"/>
    <w:rsid w:val="42772080"/>
    <w:rsid w:val="4278792F"/>
    <w:rsid w:val="4280E8D0"/>
    <w:rsid w:val="4280EBDE"/>
    <w:rsid w:val="4285CC7C"/>
    <w:rsid w:val="4286F272"/>
    <w:rsid w:val="428927DD"/>
    <w:rsid w:val="428B79B2"/>
    <w:rsid w:val="428F758F"/>
    <w:rsid w:val="4290573E"/>
    <w:rsid w:val="42917A54"/>
    <w:rsid w:val="4291D584"/>
    <w:rsid w:val="4294C7DD"/>
    <w:rsid w:val="4298CF5F"/>
    <w:rsid w:val="4299C24C"/>
    <w:rsid w:val="429A5780"/>
    <w:rsid w:val="429BD239"/>
    <w:rsid w:val="42B467FA"/>
    <w:rsid w:val="42B79A13"/>
    <w:rsid w:val="42BA8C33"/>
    <w:rsid w:val="42BC27AF"/>
    <w:rsid w:val="42BC4F64"/>
    <w:rsid w:val="42BC837E"/>
    <w:rsid w:val="42BE104A"/>
    <w:rsid w:val="42C07B73"/>
    <w:rsid w:val="42C39D15"/>
    <w:rsid w:val="42C3D027"/>
    <w:rsid w:val="42C483D5"/>
    <w:rsid w:val="42CA6190"/>
    <w:rsid w:val="42CAB11E"/>
    <w:rsid w:val="42CF3393"/>
    <w:rsid w:val="42D4707C"/>
    <w:rsid w:val="42D681AC"/>
    <w:rsid w:val="42D71051"/>
    <w:rsid w:val="42DD26B4"/>
    <w:rsid w:val="42DE45B7"/>
    <w:rsid w:val="42E09BBB"/>
    <w:rsid w:val="42E15EC2"/>
    <w:rsid w:val="42E258E6"/>
    <w:rsid w:val="42E89414"/>
    <w:rsid w:val="42EE9C2E"/>
    <w:rsid w:val="42F30D05"/>
    <w:rsid w:val="42F346E5"/>
    <w:rsid w:val="42F376AB"/>
    <w:rsid w:val="42F4C2E0"/>
    <w:rsid w:val="42F66EB1"/>
    <w:rsid w:val="42FA162D"/>
    <w:rsid w:val="4300FD00"/>
    <w:rsid w:val="43010F2E"/>
    <w:rsid w:val="430352C0"/>
    <w:rsid w:val="430A3E68"/>
    <w:rsid w:val="430BFCA5"/>
    <w:rsid w:val="430EB6E4"/>
    <w:rsid w:val="430EE9A1"/>
    <w:rsid w:val="4316BDA6"/>
    <w:rsid w:val="4323E1BF"/>
    <w:rsid w:val="43291A30"/>
    <w:rsid w:val="433006AC"/>
    <w:rsid w:val="43322B6B"/>
    <w:rsid w:val="4334F4F5"/>
    <w:rsid w:val="4339C710"/>
    <w:rsid w:val="433D05E1"/>
    <w:rsid w:val="433D700D"/>
    <w:rsid w:val="43402D7D"/>
    <w:rsid w:val="43426805"/>
    <w:rsid w:val="434FCE6A"/>
    <w:rsid w:val="4352E55B"/>
    <w:rsid w:val="43540F34"/>
    <w:rsid w:val="4359EC68"/>
    <w:rsid w:val="435BCC93"/>
    <w:rsid w:val="43657FDE"/>
    <w:rsid w:val="43690BDF"/>
    <w:rsid w:val="436AAF65"/>
    <w:rsid w:val="436D130B"/>
    <w:rsid w:val="436DCBBE"/>
    <w:rsid w:val="436EDE51"/>
    <w:rsid w:val="436F177D"/>
    <w:rsid w:val="436FA989"/>
    <w:rsid w:val="4370150F"/>
    <w:rsid w:val="43768E64"/>
    <w:rsid w:val="4377B05E"/>
    <w:rsid w:val="4378B7B7"/>
    <w:rsid w:val="437D6BE5"/>
    <w:rsid w:val="4381899C"/>
    <w:rsid w:val="43836813"/>
    <w:rsid w:val="438BCC4E"/>
    <w:rsid w:val="438BEEE3"/>
    <w:rsid w:val="438E0110"/>
    <w:rsid w:val="438E1A92"/>
    <w:rsid w:val="438F1EA3"/>
    <w:rsid w:val="43912395"/>
    <w:rsid w:val="4399C0B1"/>
    <w:rsid w:val="439A1FE8"/>
    <w:rsid w:val="439CB4ED"/>
    <w:rsid w:val="439D7FEB"/>
    <w:rsid w:val="439DECF0"/>
    <w:rsid w:val="43A6013E"/>
    <w:rsid w:val="43A6C2AE"/>
    <w:rsid w:val="43AA9B2B"/>
    <w:rsid w:val="43AE72E4"/>
    <w:rsid w:val="43B3D103"/>
    <w:rsid w:val="43B3EECB"/>
    <w:rsid w:val="43BA74B4"/>
    <w:rsid w:val="43BEE0F2"/>
    <w:rsid w:val="43C28CC4"/>
    <w:rsid w:val="43C5C6F5"/>
    <w:rsid w:val="43C6F3FD"/>
    <w:rsid w:val="43C74F8A"/>
    <w:rsid w:val="43C7DB7B"/>
    <w:rsid w:val="43C849B4"/>
    <w:rsid w:val="43C8F6A5"/>
    <w:rsid w:val="43CF8670"/>
    <w:rsid w:val="43CFD13B"/>
    <w:rsid w:val="43D38042"/>
    <w:rsid w:val="43D73665"/>
    <w:rsid w:val="43D86417"/>
    <w:rsid w:val="43DB72D8"/>
    <w:rsid w:val="43DBF41B"/>
    <w:rsid w:val="43DCD0EB"/>
    <w:rsid w:val="43DD92EA"/>
    <w:rsid w:val="43DDFEBA"/>
    <w:rsid w:val="43DE6461"/>
    <w:rsid w:val="43DE98FF"/>
    <w:rsid w:val="43DFA953"/>
    <w:rsid w:val="43E14EB4"/>
    <w:rsid w:val="43E322B8"/>
    <w:rsid w:val="43E38CC8"/>
    <w:rsid w:val="43ED2958"/>
    <w:rsid w:val="43EE66A7"/>
    <w:rsid w:val="43F1FFF3"/>
    <w:rsid w:val="43F2E75D"/>
    <w:rsid w:val="43F8F0BC"/>
    <w:rsid w:val="43F9A99C"/>
    <w:rsid w:val="43FE3998"/>
    <w:rsid w:val="44035CDE"/>
    <w:rsid w:val="4403E198"/>
    <w:rsid w:val="4408C46A"/>
    <w:rsid w:val="440A8896"/>
    <w:rsid w:val="440CFA8B"/>
    <w:rsid w:val="440F77E6"/>
    <w:rsid w:val="44159B3B"/>
    <w:rsid w:val="44175837"/>
    <w:rsid w:val="441BBBA1"/>
    <w:rsid w:val="441C21BD"/>
    <w:rsid w:val="441E1911"/>
    <w:rsid w:val="441E91F7"/>
    <w:rsid w:val="441FBBF7"/>
    <w:rsid w:val="44295F58"/>
    <w:rsid w:val="442D39CD"/>
    <w:rsid w:val="4434065C"/>
    <w:rsid w:val="44361700"/>
    <w:rsid w:val="44364EDA"/>
    <w:rsid w:val="4438AB8E"/>
    <w:rsid w:val="443CFFCF"/>
    <w:rsid w:val="443DF2F9"/>
    <w:rsid w:val="4440C090"/>
    <w:rsid w:val="44467E3C"/>
    <w:rsid w:val="4447FDBB"/>
    <w:rsid w:val="444C931F"/>
    <w:rsid w:val="4457A026"/>
    <w:rsid w:val="445B6A0D"/>
    <w:rsid w:val="4465A527"/>
    <w:rsid w:val="446AC43D"/>
    <w:rsid w:val="446BC719"/>
    <w:rsid w:val="446BD34B"/>
    <w:rsid w:val="446C1248"/>
    <w:rsid w:val="446C2A51"/>
    <w:rsid w:val="446C33B1"/>
    <w:rsid w:val="446E72D2"/>
    <w:rsid w:val="4470D0EC"/>
    <w:rsid w:val="44792B31"/>
    <w:rsid w:val="447F1472"/>
    <w:rsid w:val="44872174"/>
    <w:rsid w:val="448D1BF8"/>
    <w:rsid w:val="4494C0CC"/>
    <w:rsid w:val="4495C941"/>
    <w:rsid w:val="4495EC2E"/>
    <w:rsid w:val="4496BE84"/>
    <w:rsid w:val="449780B8"/>
    <w:rsid w:val="4497AD7A"/>
    <w:rsid w:val="4498B54A"/>
    <w:rsid w:val="449B1EE0"/>
    <w:rsid w:val="449C7502"/>
    <w:rsid w:val="44A705F6"/>
    <w:rsid w:val="44AE4C34"/>
    <w:rsid w:val="44AED86A"/>
    <w:rsid w:val="44AEF459"/>
    <w:rsid w:val="44B233DE"/>
    <w:rsid w:val="44B33D15"/>
    <w:rsid w:val="44B44F2B"/>
    <w:rsid w:val="44B7E834"/>
    <w:rsid w:val="44BB60E3"/>
    <w:rsid w:val="44BB6122"/>
    <w:rsid w:val="44BD0EB1"/>
    <w:rsid w:val="44C01A40"/>
    <w:rsid w:val="44C06FBD"/>
    <w:rsid w:val="44C22B1D"/>
    <w:rsid w:val="44C3AA47"/>
    <w:rsid w:val="44C3F6B3"/>
    <w:rsid w:val="44C6BDAE"/>
    <w:rsid w:val="44C7DAE6"/>
    <w:rsid w:val="44C83C2D"/>
    <w:rsid w:val="44C8A343"/>
    <w:rsid w:val="44C97884"/>
    <w:rsid w:val="44CB939F"/>
    <w:rsid w:val="44CD3386"/>
    <w:rsid w:val="44CE4924"/>
    <w:rsid w:val="44CEA902"/>
    <w:rsid w:val="44D2B876"/>
    <w:rsid w:val="44D38757"/>
    <w:rsid w:val="44D7863E"/>
    <w:rsid w:val="44E0E590"/>
    <w:rsid w:val="44E8301D"/>
    <w:rsid w:val="44E950FC"/>
    <w:rsid w:val="44EB5245"/>
    <w:rsid w:val="44EB89AC"/>
    <w:rsid w:val="44EE9EB7"/>
    <w:rsid w:val="44F01713"/>
    <w:rsid w:val="44FB53CE"/>
    <w:rsid w:val="4507AAF9"/>
    <w:rsid w:val="4508FD34"/>
    <w:rsid w:val="450B2196"/>
    <w:rsid w:val="450EF04B"/>
    <w:rsid w:val="451128AF"/>
    <w:rsid w:val="4513868C"/>
    <w:rsid w:val="451D9C25"/>
    <w:rsid w:val="451E41E1"/>
    <w:rsid w:val="45205657"/>
    <w:rsid w:val="45209FBF"/>
    <w:rsid w:val="4523CA5B"/>
    <w:rsid w:val="4525784C"/>
    <w:rsid w:val="452A5792"/>
    <w:rsid w:val="45347A08"/>
    <w:rsid w:val="453E34F7"/>
    <w:rsid w:val="453E7F3E"/>
    <w:rsid w:val="45412428"/>
    <w:rsid w:val="454762B2"/>
    <w:rsid w:val="454F882E"/>
    <w:rsid w:val="4552E4B1"/>
    <w:rsid w:val="45544E62"/>
    <w:rsid w:val="45583847"/>
    <w:rsid w:val="4559C2B1"/>
    <w:rsid w:val="455B4531"/>
    <w:rsid w:val="45623A45"/>
    <w:rsid w:val="456425F7"/>
    <w:rsid w:val="4564AAD1"/>
    <w:rsid w:val="4564E746"/>
    <w:rsid w:val="45766E00"/>
    <w:rsid w:val="457D35CE"/>
    <w:rsid w:val="457E6145"/>
    <w:rsid w:val="4584A655"/>
    <w:rsid w:val="45854BEF"/>
    <w:rsid w:val="458C7CBA"/>
    <w:rsid w:val="459AC369"/>
    <w:rsid w:val="45A48C12"/>
    <w:rsid w:val="45A5361A"/>
    <w:rsid w:val="45A65577"/>
    <w:rsid w:val="45AB5E77"/>
    <w:rsid w:val="45B47389"/>
    <w:rsid w:val="45B67974"/>
    <w:rsid w:val="45B7AF5B"/>
    <w:rsid w:val="45BDAD69"/>
    <w:rsid w:val="45BF7F15"/>
    <w:rsid w:val="45C1A19A"/>
    <w:rsid w:val="45C2383B"/>
    <w:rsid w:val="45C746E9"/>
    <w:rsid w:val="45C7D548"/>
    <w:rsid w:val="45C9D9BB"/>
    <w:rsid w:val="45CE883E"/>
    <w:rsid w:val="45D3D6F7"/>
    <w:rsid w:val="45D7BE6D"/>
    <w:rsid w:val="45E0B6CD"/>
    <w:rsid w:val="45E42B3A"/>
    <w:rsid w:val="45FCB7E3"/>
    <w:rsid w:val="45FD8EF6"/>
    <w:rsid w:val="4600E043"/>
    <w:rsid w:val="4601213E"/>
    <w:rsid w:val="4601A688"/>
    <w:rsid w:val="4603A319"/>
    <w:rsid w:val="460786F5"/>
    <w:rsid w:val="460D706C"/>
    <w:rsid w:val="4610DD24"/>
    <w:rsid w:val="461572B7"/>
    <w:rsid w:val="4618E9B7"/>
    <w:rsid w:val="461950A7"/>
    <w:rsid w:val="461B47BE"/>
    <w:rsid w:val="461C3599"/>
    <w:rsid w:val="461C4E2C"/>
    <w:rsid w:val="4622F1D5"/>
    <w:rsid w:val="46231913"/>
    <w:rsid w:val="46258548"/>
    <w:rsid w:val="46271986"/>
    <w:rsid w:val="46290F0D"/>
    <w:rsid w:val="462C1DCE"/>
    <w:rsid w:val="4635B6B9"/>
    <w:rsid w:val="463A8FC9"/>
    <w:rsid w:val="463AC910"/>
    <w:rsid w:val="463C5BD9"/>
    <w:rsid w:val="463D2F0A"/>
    <w:rsid w:val="464C6EAF"/>
    <w:rsid w:val="46504B7F"/>
    <w:rsid w:val="465245AE"/>
    <w:rsid w:val="46557BCA"/>
    <w:rsid w:val="4655D718"/>
    <w:rsid w:val="4655F1C5"/>
    <w:rsid w:val="4659B9ED"/>
    <w:rsid w:val="465C9FCA"/>
    <w:rsid w:val="465E0741"/>
    <w:rsid w:val="465E7B7B"/>
    <w:rsid w:val="4663265B"/>
    <w:rsid w:val="466459EC"/>
    <w:rsid w:val="4667DBA3"/>
    <w:rsid w:val="46687CEC"/>
    <w:rsid w:val="466A68AA"/>
    <w:rsid w:val="466BD3F8"/>
    <w:rsid w:val="46706A1A"/>
    <w:rsid w:val="4680A238"/>
    <w:rsid w:val="4686F041"/>
    <w:rsid w:val="468F4D8F"/>
    <w:rsid w:val="46906EF6"/>
    <w:rsid w:val="4691105F"/>
    <w:rsid w:val="4691DE9C"/>
    <w:rsid w:val="46931CE6"/>
    <w:rsid w:val="469549F7"/>
    <w:rsid w:val="46959337"/>
    <w:rsid w:val="46966846"/>
    <w:rsid w:val="4697443B"/>
    <w:rsid w:val="4697A1B0"/>
    <w:rsid w:val="469CA552"/>
    <w:rsid w:val="46A31D9C"/>
    <w:rsid w:val="46A4A341"/>
    <w:rsid w:val="46A74B50"/>
    <w:rsid w:val="46A81AF3"/>
    <w:rsid w:val="46A8F7FD"/>
    <w:rsid w:val="46AD1F73"/>
    <w:rsid w:val="46B02271"/>
    <w:rsid w:val="46B083D7"/>
    <w:rsid w:val="46B7D8FF"/>
    <w:rsid w:val="46B99B36"/>
    <w:rsid w:val="46BB13A0"/>
    <w:rsid w:val="46BCE05D"/>
    <w:rsid w:val="46C3480B"/>
    <w:rsid w:val="46C3BC95"/>
    <w:rsid w:val="46C54542"/>
    <w:rsid w:val="46C65D3A"/>
    <w:rsid w:val="46C6A979"/>
    <w:rsid w:val="46C6B4B5"/>
    <w:rsid w:val="46C7CF4F"/>
    <w:rsid w:val="46C8342B"/>
    <w:rsid w:val="46C88A76"/>
    <w:rsid w:val="46CB1D25"/>
    <w:rsid w:val="46CC3B12"/>
    <w:rsid w:val="46CCA530"/>
    <w:rsid w:val="46CCBABD"/>
    <w:rsid w:val="46CD5E95"/>
    <w:rsid w:val="46D4C6CC"/>
    <w:rsid w:val="46D5B049"/>
    <w:rsid w:val="46D893AB"/>
    <w:rsid w:val="46E0A75F"/>
    <w:rsid w:val="46E905B1"/>
    <w:rsid w:val="46E96114"/>
    <w:rsid w:val="46EAB585"/>
    <w:rsid w:val="46F01480"/>
    <w:rsid w:val="46F4CB02"/>
    <w:rsid w:val="46F5ECD5"/>
    <w:rsid w:val="46F83048"/>
    <w:rsid w:val="46FB5191"/>
    <w:rsid w:val="4700DB3C"/>
    <w:rsid w:val="4700F73D"/>
    <w:rsid w:val="4702018C"/>
    <w:rsid w:val="47034473"/>
    <w:rsid w:val="4704A120"/>
    <w:rsid w:val="4705C14D"/>
    <w:rsid w:val="47082065"/>
    <w:rsid w:val="470925F4"/>
    <w:rsid w:val="470C3D20"/>
    <w:rsid w:val="470EC3EB"/>
    <w:rsid w:val="4712C089"/>
    <w:rsid w:val="4714CD27"/>
    <w:rsid w:val="47168A7E"/>
    <w:rsid w:val="47195F0C"/>
    <w:rsid w:val="471A43C7"/>
    <w:rsid w:val="471F0CA6"/>
    <w:rsid w:val="472015DE"/>
    <w:rsid w:val="47220D9D"/>
    <w:rsid w:val="47287EE4"/>
    <w:rsid w:val="4728DD39"/>
    <w:rsid w:val="472AE3FF"/>
    <w:rsid w:val="472C2172"/>
    <w:rsid w:val="472F1D9F"/>
    <w:rsid w:val="47344D5E"/>
    <w:rsid w:val="4734C66F"/>
    <w:rsid w:val="4735ED57"/>
    <w:rsid w:val="473668C5"/>
    <w:rsid w:val="4739F6AB"/>
    <w:rsid w:val="473BAB77"/>
    <w:rsid w:val="473F96CA"/>
    <w:rsid w:val="47446232"/>
    <w:rsid w:val="4744C921"/>
    <w:rsid w:val="47453435"/>
    <w:rsid w:val="474AAEE5"/>
    <w:rsid w:val="474B2B0A"/>
    <w:rsid w:val="474CBC30"/>
    <w:rsid w:val="4750C663"/>
    <w:rsid w:val="47520F8B"/>
    <w:rsid w:val="475C4C52"/>
    <w:rsid w:val="47601E29"/>
    <w:rsid w:val="4760AE01"/>
    <w:rsid w:val="476923ED"/>
    <w:rsid w:val="476938A7"/>
    <w:rsid w:val="47697995"/>
    <w:rsid w:val="476CE22F"/>
    <w:rsid w:val="476F26E5"/>
    <w:rsid w:val="47712044"/>
    <w:rsid w:val="477302C7"/>
    <w:rsid w:val="477A79B6"/>
    <w:rsid w:val="47808F00"/>
    <w:rsid w:val="47883775"/>
    <w:rsid w:val="478B273E"/>
    <w:rsid w:val="478B9386"/>
    <w:rsid w:val="478C3690"/>
    <w:rsid w:val="478EA871"/>
    <w:rsid w:val="479742AA"/>
    <w:rsid w:val="47990A76"/>
    <w:rsid w:val="479B3B44"/>
    <w:rsid w:val="47A0EE78"/>
    <w:rsid w:val="47A4CC52"/>
    <w:rsid w:val="47A5D3F1"/>
    <w:rsid w:val="47A65475"/>
    <w:rsid w:val="47AB2BE1"/>
    <w:rsid w:val="47B15EBB"/>
    <w:rsid w:val="47B2C139"/>
    <w:rsid w:val="47B37343"/>
    <w:rsid w:val="47B5266C"/>
    <w:rsid w:val="47BB84E0"/>
    <w:rsid w:val="47C0F1A4"/>
    <w:rsid w:val="47C94F2A"/>
    <w:rsid w:val="47D48C81"/>
    <w:rsid w:val="47D48F74"/>
    <w:rsid w:val="47D5F2D9"/>
    <w:rsid w:val="47D81DAC"/>
    <w:rsid w:val="47D8A1F6"/>
    <w:rsid w:val="47DBFC28"/>
    <w:rsid w:val="47DD129D"/>
    <w:rsid w:val="47E398CC"/>
    <w:rsid w:val="47EA0D90"/>
    <w:rsid w:val="47EAD780"/>
    <w:rsid w:val="47EB01DA"/>
    <w:rsid w:val="47ED4A99"/>
    <w:rsid w:val="47EEB3B5"/>
    <w:rsid w:val="47EFF95B"/>
    <w:rsid w:val="47FAFA2B"/>
    <w:rsid w:val="480523BC"/>
    <w:rsid w:val="4809626D"/>
    <w:rsid w:val="4809812B"/>
    <w:rsid w:val="480FA08B"/>
    <w:rsid w:val="4811D2E3"/>
    <w:rsid w:val="4812EDCE"/>
    <w:rsid w:val="4814114D"/>
    <w:rsid w:val="48149F10"/>
    <w:rsid w:val="4817213E"/>
    <w:rsid w:val="4817DA6B"/>
    <w:rsid w:val="4818C237"/>
    <w:rsid w:val="481BC465"/>
    <w:rsid w:val="481EF899"/>
    <w:rsid w:val="481FE329"/>
    <w:rsid w:val="48209C2D"/>
    <w:rsid w:val="48229476"/>
    <w:rsid w:val="4827EBCB"/>
    <w:rsid w:val="4827F916"/>
    <w:rsid w:val="482AE32D"/>
    <w:rsid w:val="482C2106"/>
    <w:rsid w:val="482D720D"/>
    <w:rsid w:val="48335D07"/>
    <w:rsid w:val="4834947F"/>
    <w:rsid w:val="4835E8ED"/>
    <w:rsid w:val="48383677"/>
    <w:rsid w:val="483EEDFD"/>
    <w:rsid w:val="484200D8"/>
    <w:rsid w:val="4844075E"/>
    <w:rsid w:val="484ABFFC"/>
    <w:rsid w:val="484BDB3C"/>
    <w:rsid w:val="48560611"/>
    <w:rsid w:val="4856A9A5"/>
    <w:rsid w:val="48586324"/>
    <w:rsid w:val="48626400"/>
    <w:rsid w:val="4862C024"/>
    <w:rsid w:val="4863950E"/>
    <w:rsid w:val="4863A9AD"/>
    <w:rsid w:val="4864669B"/>
    <w:rsid w:val="48667522"/>
    <w:rsid w:val="486B58B4"/>
    <w:rsid w:val="486D6329"/>
    <w:rsid w:val="486EE6E5"/>
    <w:rsid w:val="4873E1DC"/>
    <w:rsid w:val="4877CEF7"/>
    <w:rsid w:val="48780CF4"/>
    <w:rsid w:val="4879443C"/>
    <w:rsid w:val="48797825"/>
    <w:rsid w:val="487C33CE"/>
    <w:rsid w:val="487D5064"/>
    <w:rsid w:val="487FB9F5"/>
    <w:rsid w:val="488621B9"/>
    <w:rsid w:val="4889665B"/>
    <w:rsid w:val="48914B91"/>
    <w:rsid w:val="489D128A"/>
    <w:rsid w:val="48B400E7"/>
    <w:rsid w:val="48B78CFB"/>
    <w:rsid w:val="48B7D81D"/>
    <w:rsid w:val="48BA419A"/>
    <w:rsid w:val="48BB4649"/>
    <w:rsid w:val="48BFE07A"/>
    <w:rsid w:val="48C379D2"/>
    <w:rsid w:val="48C838E3"/>
    <w:rsid w:val="48CA4DE7"/>
    <w:rsid w:val="48CBBD9D"/>
    <w:rsid w:val="48CFF6DF"/>
    <w:rsid w:val="48D71B57"/>
    <w:rsid w:val="48DCC909"/>
    <w:rsid w:val="48DE6070"/>
    <w:rsid w:val="48DECC29"/>
    <w:rsid w:val="48E49749"/>
    <w:rsid w:val="48E7289F"/>
    <w:rsid w:val="48E7B989"/>
    <w:rsid w:val="48E948AD"/>
    <w:rsid w:val="48EDF0DD"/>
    <w:rsid w:val="48F0AC18"/>
    <w:rsid w:val="48FC8A1A"/>
    <w:rsid w:val="48FE9286"/>
    <w:rsid w:val="48FF83D3"/>
    <w:rsid w:val="490397DA"/>
    <w:rsid w:val="4904BE4C"/>
    <w:rsid w:val="49051914"/>
    <w:rsid w:val="4906088F"/>
    <w:rsid w:val="490BCDF4"/>
    <w:rsid w:val="49189B1E"/>
    <w:rsid w:val="491A0F31"/>
    <w:rsid w:val="491ABDF4"/>
    <w:rsid w:val="49239FB7"/>
    <w:rsid w:val="492407A7"/>
    <w:rsid w:val="492B8F8B"/>
    <w:rsid w:val="492C525B"/>
    <w:rsid w:val="492D004A"/>
    <w:rsid w:val="492D5624"/>
    <w:rsid w:val="492F8BC0"/>
    <w:rsid w:val="4931DC84"/>
    <w:rsid w:val="493331A1"/>
    <w:rsid w:val="49343C10"/>
    <w:rsid w:val="493EDE15"/>
    <w:rsid w:val="49444EF5"/>
    <w:rsid w:val="49471245"/>
    <w:rsid w:val="49475150"/>
    <w:rsid w:val="49526D95"/>
    <w:rsid w:val="49542B32"/>
    <w:rsid w:val="49543EAA"/>
    <w:rsid w:val="4955EF4E"/>
    <w:rsid w:val="495762B4"/>
    <w:rsid w:val="495DA498"/>
    <w:rsid w:val="49607590"/>
    <w:rsid w:val="49664C0B"/>
    <w:rsid w:val="4967FA05"/>
    <w:rsid w:val="49686C01"/>
    <w:rsid w:val="496BCF4B"/>
    <w:rsid w:val="496F5BF9"/>
    <w:rsid w:val="4970E243"/>
    <w:rsid w:val="49711FAB"/>
    <w:rsid w:val="49752D10"/>
    <w:rsid w:val="497613EC"/>
    <w:rsid w:val="49795A16"/>
    <w:rsid w:val="497B788D"/>
    <w:rsid w:val="4980782F"/>
    <w:rsid w:val="498BE0F9"/>
    <w:rsid w:val="498FFEB5"/>
    <w:rsid w:val="499EE3EA"/>
    <w:rsid w:val="499F0FD4"/>
    <w:rsid w:val="49A2AA27"/>
    <w:rsid w:val="49A5EAA8"/>
    <w:rsid w:val="49A6B995"/>
    <w:rsid w:val="49AD4FC6"/>
    <w:rsid w:val="49AF2B2E"/>
    <w:rsid w:val="49B01596"/>
    <w:rsid w:val="49B608F5"/>
    <w:rsid w:val="49B76908"/>
    <w:rsid w:val="49B81DFF"/>
    <w:rsid w:val="49BE2791"/>
    <w:rsid w:val="49CFBE38"/>
    <w:rsid w:val="49D09B3E"/>
    <w:rsid w:val="49D10EBC"/>
    <w:rsid w:val="49D4A464"/>
    <w:rsid w:val="49D6B443"/>
    <w:rsid w:val="49DD3606"/>
    <w:rsid w:val="49DD8658"/>
    <w:rsid w:val="49DFBBB5"/>
    <w:rsid w:val="49DFFFDD"/>
    <w:rsid w:val="49E29724"/>
    <w:rsid w:val="49E799DB"/>
    <w:rsid w:val="49EA35E5"/>
    <w:rsid w:val="49EBF935"/>
    <w:rsid w:val="49EBFF83"/>
    <w:rsid w:val="49ECC0D7"/>
    <w:rsid w:val="49F1276F"/>
    <w:rsid w:val="49F1416E"/>
    <w:rsid w:val="49F1B84F"/>
    <w:rsid w:val="49F504A7"/>
    <w:rsid w:val="49F5F0AF"/>
    <w:rsid w:val="49F71317"/>
    <w:rsid w:val="49FA8D1B"/>
    <w:rsid w:val="4A017F79"/>
    <w:rsid w:val="4A021341"/>
    <w:rsid w:val="4A07A41D"/>
    <w:rsid w:val="4A0BA849"/>
    <w:rsid w:val="4A0C6820"/>
    <w:rsid w:val="4A10DEE6"/>
    <w:rsid w:val="4A12D2C0"/>
    <w:rsid w:val="4A172A03"/>
    <w:rsid w:val="4A1CC52B"/>
    <w:rsid w:val="4A1DBD68"/>
    <w:rsid w:val="4A281E45"/>
    <w:rsid w:val="4A2A66F2"/>
    <w:rsid w:val="4A2C0D1F"/>
    <w:rsid w:val="4A2C6BC4"/>
    <w:rsid w:val="4A3020F9"/>
    <w:rsid w:val="4A37EB19"/>
    <w:rsid w:val="4A45E9CA"/>
    <w:rsid w:val="4A493A4D"/>
    <w:rsid w:val="4A4A80FF"/>
    <w:rsid w:val="4A4ACD20"/>
    <w:rsid w:val="4A4B6E96"/>
    <w:rsid w:val="4A566466"/>
    <w:rsid w:val="4A567D47"/>
    <w:rsid w:val="4A5F8598"/>
    <w:rsid w:val="4A61596A"/>
    <w:rsid w:val="4A66540B"/>
    <w:rsid w:val="4A67697E"/>
    <w:rsid w:val="4A67B120"/>
    <w:rsid w:val="4A6B9548"/>
    <w:rsid w:val="4A6C25FE"/>
    <w:rsid w:val="4A6DE944"/>
    <w:rsid w:val="4A6F2BB5"/>
    <w:rsid w:val="4A70F0E2"/>
    <w:rsid w:val="4A74B4F9"/>
    <w:rsid w:val="4A7BFCBF"/>
    <w:rsid w:val="4A8880D6"/>
    <w:rsid w:val="4A8AC77B"/>
    <w:rsid w:val="4A90CE76"/>
    <w:rsid w:val="4A916B9A"/>
    <w:rsid w:val="4A9240AD"/>
    <w:rsid w:val="4A981B0D"/>
    <w:rsid w:val="4A98DE4E"/>
    <w:rsid w:val="4A9B0B86"/>
    <w:rsid w:val="4A9C2A8E"/>
    <w:rsid w:val="4A9CD437"/>
    <w:rsid w:val="4A9DE60F"/>
    <w:rsid w:val="4AA20B07"/>
    <w:rsid w:val="4AA4090C"/>
    <w:rsid w:val="4AA568FA"/>
    <w:rsid w:val="4AB0790A"/>
    <w:rsid w:val="4AB0CD33"/>
    <w:rsid w:val="4AB547A2"/>
    <w:rsid w:val="4AB5F4E5"/>
    <w:rsid w:val="4AB5FDF4"/>
    <w:rsid w:val="4AB65DF6"/>
    <w:rsid w:val="4AB7253E"/>
    <w:rsid w:val="4AB73765"/>
    <w:rsid w:val="4AB75B14"/>
    <w:rsid w:val="4ABA559B"/>
    <w:rsid w:val="4ABE4718"/>
    <w:rsid w:val="4AC0C628"/>
    <w:rsid w:val="4AC228A6"/>
    <w:rsid w:val="4AC50E33"/>
    <w:rsid w:val="4AC6AC24"/>
    <w:rsid w:val="4AC71A15"/>
    <w:rsid w:val="4AC75FEC"/>
    <w:rsid w:val="4ACB473D"/>
    <w:rsid w:val="4ACE0702"/>
    <w:rsid w:val="4AD00100"/>
    <w:rsid w:val="4AD17D27"/>
    <w:rsid w:val="4AD35C3C"/>
    <w:rsid w:val="4AD6FA5B"/>
    <w:rsid w:val="4ADB50BA"/>
    <w:rsid w:val="4AE2C805"/>
    <w:rsid w:val="4AE2D8A5"/>
    <w:rsid w:val="4AE428EA"/>
    <w:rsid w:val="4AE53A43"/>
    <w:rsid w:val="4AE58E8F"/>
    <w:rsid w:val="4AE7EAFD"/>
    <w:rsid w:val="4AEACDE8"/>
    <w:rsid w:val="4AEB8B85"/>
    <w:rsid w:val="4AEE5BC9"/>
    <w:rsid w:val="4AEE66F0"/>
    <w:rsid w:val="4AF260EB"/>
    <w:rsid w:val="4AF372BB"/>
    <w:rsid w:val="4AF46E1D"/>
    <w:rsid w:val="4AF4C9B9"/>
    <w:rsid w:val="4AF75A97"/>
    <w:rsid w:val="4AF7EDE0"/>
    <w:rsid w:val="4AFBFDB6"/>
    <w:rsid w:val="4AFD397B"/>
    <w:rsid w:val="4B006FBA"/>
    <w:rsid w:val="4B020F38"/>
    <w:rsid w:val="4B043C62"/>
    <w:rsid w:val="4B07626E"/>
    <w:rsid w:val="4B087797"/>
    <w:rsid w:val="4B08C05B"/>
    <w:rsid w:val="4B095C43"/>
    <w:rsid w:val="4B0D66EE"/>
    <w:rsid w:val="4B0DED19"/>
    <w:rsid w:val="4B11CE47"/>
    <w:rsid w:val="4B14EAC5"/>
    <w:rsid w:val="4B164443"/>
    <w:rsid w:val="4B170C30"/>
    <w:rsid w:val="4B18ED83"/>
    <w:rsid w:val="4B1CD5B2"/>
    <w:rsid w:val="4B1DEE55"/>
    <w:rsid w:val="4B201DE2"/>
    <w:rsid w:val="4B217C79"/>
    <w:rsid w:val="4B2729B8"/>
    <w:rsid w:val="4B296DB9"/>
    <w:rsid w:val="4B2D674A"/>
    <w:rsid w:val="4B30EF80"/>
    <w:rsid w:val="4B3E53FD"/>
    <w:rsid w:val="4B3FA698"/>
    <w:rsid w:val="4B53AD2E"/>
    <w:rsid w:val="4B580EF0"/>
    <w:rsid w:val="4B5A6ECC"/>
    <w:rsid w:val="4B5D6662"/>
    <w:rsid w:val="4B611F83"/>
    <w:rsid w:val="4B76356D"/>
    <w:rsid w:val="4B76BDD5"/>
    <w:rsid w:val="4B77BF13"/>
    <w:rsid w:val="4B7A2014"/>
    <w:rsid w:val="4B7C0372"/>
    <w:rsid w:val="4B7E38E9"/>
    <w:rsid w:val="4B813869"/>
    <w:rsid w:val="4B81B8CA"/>
    <w:rsid w:val="4B84F320"/>
    <w:rsid w:val="4B89F11B"/>
    <w:rsid w:val="4B8C4C62"/>
    <w:rsid w:val="4B8F231B"/>
    <w:rsid w:val="4B93AB2C"/>
    <w:rsid w:val="4B9638EE"/>
    <w:rsid w:val="4B966EF3"/>
    <w:rsid w:val="4B98FBF5"/>
    <w:rsid w:val="4B9A6D79"/>
    <w:rsid w:val="4BA12EFD"/>
    <w:rsid w:val="4BA7B84C"/>
    <w:rsid w:val="4BA95249"/>
    <w:rsid w:val="4BB18158"/>
    <w:rsid w:val="4BB39181"/>
    <w:rsid w:val="4BB53D44"/>
    <w:rsid w:val="4BB550ED"/>
    <w:rsid w:val="4BB56EFB"/>
    <w:rsid w:val="4BB5E44B"/>
    <w:rsid w:val="4BC17C53"/>
    <w:rsid w:val="4BC48DB7"/>
    <w:rsid w:val="4BC52280"/>
    <w:rsid w:val="4BCA1F2A"/>
    <w:rsid w:val="4BCE679C"/>
    <w:rsid w:val="4BD5FC34"/>
    <w:rsid w:val="4BD78F84"/>
    <w:rsid w:val="4BD91523"/>
    <w:rsid w:val="4BDBBF3B"/>
    <w:rsid w:val="4BE4F75B"/>
    <w:rsid w:val="4BE63A13"/>
    <w:rsid w:val="4BE6E56C"/>
    <w:rsid w:val="4BE73EF7"/>
    <w:rsid w:val="4BE9394F"/>
    <w:rsid w:val="4BED1B65"/>
    <w:rsid w:val="4BF02046"/>
    <w:rsid w:val="4BF04D09"/>
    <w:rsid w:val="4BFFAB6A"/>
    <w:rsid w:val="4C04DF2B"/>
    <w:rsid w:val="4C0765A9"/>
    <w:rsid w:val="4C08B181"/>
    <w:rsid w:val="4C0B6EAB"/>
    <w:rsid w:val="4C0DC246"/>
    <w:rsid w:val="4C0DD51A"/>
    <w:rsid w:val="4C0E3F56"/>
    <w:rsid w:val="4C0E45D6"/>
    <w:rsid w:val="4C0F1DC2"/>
    <w:rsid w:val="4C160B23"/>
    <w:rsid w:val="4C1A7FE3"/>
    <w:rsid w:val="4C1CFA94"/>
    <w:rsid w:val="4C1DBCD5"/>
    <w:rsid w:val="4C1E302C"/>
    <w:rsid w:val="4C1F09B6"/>
    <w:rsid w:val="4C1F5CBB"/>
    <w:rsid w:val="4C2868C5"/>
    <w:rsid w:val="4C2B0A37"/>
    <w:rsid w:val="4C2B20AE"/>
    <w:rsid w:val="4C2EBD96"/>
    <w:rsid w:val="4C30397D"/>
    <w:rsid w:val="4C31ADAF"/>
    <w:rsid w:val="4C39E26E"/>
    <w:rsid w:val="4C3CB226"/>
    <w:rsid w:val="4C3DB7E0"/>
    <w:rsid w:val="4C3EE645"/>
    <w:rsid w:val="4C41BFBF"/>
    <w:rsid w:val="4C453BAE"/>
    <w:rsid w:val="4C47281B"/>
    <w:rsid w:val="4C472CC3"/>
    <w:rsid w:val="4C488FC3"/>
    <w:rsid w:val="4C4A27D0"/>
    <w:rsid w:val="4C4B9307"/>
    <w:rsid w:val="4C4C09A8"/>
    <w:rsid w:val="4C525D80"/>
    <w:rsid w:val="4C56DC75"/>
    <w:rsid w:val="4C57B835"/>
    <w:rsid w:val="4C6384FE"/>
    <w:rsid w:val="4C6614CE"/>
    <w:rsid w:val="4C672DF4"/>
    <w:rsid w:val="4C69BCB1"/>
    <w:rsid w:val="4C705E30"/>
    <w:rsid w:val="4C764DFD"/>
    <w:rsid w:val="4C7870EE"/>
    <w:rsid w:val="4C7B1C6F"/>
    <w:rsid w:val="4C7CD09B"/>
    <w:rsid w:val="4C7FE1AC"/>
    <w:rsid w:val="4C7FEDDB"/>
    <w:rsid w:val="4C81DC35"/>
    <w:rsid w:val="4C83E207"/>
    <w:rsid w:val="4C84C086"/>
    <w:rsid w:val="4C84EAFD"/>
    <w:rsid w:val="4C8525B1"/>
    <w:rsid w:val="4C89D0C0"/>
    <w:rsid w:val="4C8AD477"/>
    <w:rsid w:val="4C8F6AF9"/>
    <w:rsid w:val="4C92640E"/>
    <w:rsid w:val="4C92E835"/>
    <w:rsid w:val="4C9AA5F3"/>
    <w:rsid w:val="4C9DA9C2"/>
    <w:rsid w:val="4C9DBEF1"/>
    <w:rsid w:val="4CA4AC22"/>
    <w:rsid w:val="4CA7972B"/>
    <w:rsid w:val="4CA91332"/>
    <w:rsid w:val="4CA9A509"/>
    <w:rsid w:val="4CAD84B0"/>
    <w:rsid w:val="4CB6E2F0"/>
    <w:rsid w:val="4CBD81F4"/>
    <w:rsid w:val="4CBEAA89"/>
    <w:rsid w:val="4CC20F00"/>
    <w:rsid w:val="4CC334CC"/>
    <w:rsid w:val="4CC421B9"/>
    <w:rsid w:val="4CC496F7"/>
    <w:rsid w:val="4CC69DCB"/>
    <w:rsid w:val="4CC8F4EA"/>
    <w:rsid w:val="4CC937AB"/>
    <w:rsid w:val="4CCA3007"/>
    <w:rsid w:val="4CCAE79F"/>
    <w:rsid w:val="4CD15F84"/>
    <w:rsid w:val="4CD9035A"/>
    <w:rsid w:val="4CDFBA8D"/>
    <w:rsid w:val="4CE09432"/>
    <w:rsid w:val="4CE432F2"/>
    <w:rsid w:val="4CE5214A"/>
    <w:rsid w:val="4CE60561"/>
    <w:rsid w:val="4CEB5660"/>
    <w:rsid w:val="4CEB98BB"/>
    <w:rsid w:val="4CF0041B"/>
    <w:rsid w:val="4CF936C3"/>
    <w:rsid w:val="4CFB3441"/>
    <w:rsid w:val="4CFBFAAF"/>
    <w:rsid w:val="4CFFAA71"/>
    <w:rsid w:val="4CFFB5EE"/>
    <w:rsid w:val="4D0EB2C8"/>
    <w:rsid w:val="4D13DE4C"/>
    <w:rsid w:val="4D15B678"/>
    <w:rsid w:val="4D18B548"/>
    <w:rsid w:val="4D199D6A"/>
    <w:rsid w:val="4D1A4449"/>
    <w:rsid w:val="4D1AE123"/>
    <w:rsid w:val="4D1F20C8"/>
    <w:rsid w:val="4D222C6B"/>
    <w:rsid w:val="4D247C51"/>
    <w:rsid w:val="4D251F15"/>
    <w:rsid w:val="4D29F38C"/>
    <w:rsid w:val="4D2B5250"/>
    <w:rsid w:val="4D2E7A5A"/>
    <w:rsid w:val="4D2F7B8D"/>
    <w:rsid w:val="4D31F0C7"/>
    <w:rsid w:val="4D329BC0"/>
    <w:rsid w:val="4D3366EC"/>
    <w:rsid w:val="4D3797CB"/>
    <w:rsid w:val="4D3B033C"/>
    <w:rsid w:val="4D3FD925"/>
    <w:rsid w:val="4D422D9B"/>
    <w:rsid w:val="4D4AA0E7"/>
    <w:rsid w:val="4D4BBC0F"/>
    <w:rsid w:val="4D4C02EE"/>
    <w:rsid w:val="4D4C20AE"/>
    <w:rsid w:val="4D55D5BC"/>
    <w:rsid w:val="4D5A758C"/>
    <w:rsid w:val="4D5E6C5B"/>
    <w:rsid w:val="4D614973"/>
    <w:rsid w:val="4D625091"/>
    <w:rsid w:val="4D644EF5"/>
    <w:rsid w:val="4D68F1E5"/>
    <w:rsid w:val="4D6A46D5"/>
    <w:rsid w:val="4D6DD2DC"/>
    <w:rsid w:val="4D6DD372"/>
    <w:rsid w:val="4D70FF19"/>
    <w:rsid w:val="4D711FA8"/>
    <w:rsid w:val="4D75B272"/>
    <w:rsid w:val="4D77B579"/>
    <w:rsid w:val="4D79F0F7"/>
    <w:rsid w:val="4D7AA6E9"/>
    <w:rsid w:val="4D80BA43"/>
    <w:rsid w:val="4D8AB123"/>
    <w:rsid w:val="4D8C65AB"/>
    <w:rsid w:val="4D8C6E47"/>
    <w:rsid w:val="4D8FE47F"/>
    <w:rsid w:val="4D91713E"/>
    <w:rsid w:val="4D94C01D"/>
    <w:rsid w:val="4D9A56C6"/>
    <w:rsid w:val="4D9A67B0"/>
    <w:rsid w:val="4D9C0442"/>
    <w:rsid w:val="4D9E7216"/>
    <w:rsid w:val="4DA43F43"/>
    <w:rsid w:val="4DA6AB28"/>
    <w:rsid w:val="4DA858E6"/>
    <w:rsid w:val="4DB218B9"/>
    <w:rsid w:val="4DC099E1"/>
    <w:rsid w:val="4DC70E0E"/>
    <w:rsid w:val="4DCDBE03"/>
    <w:rsid w:val="4DD22836"/>
    <w:rsid w:val="4DD69D25"/>
    <w:rsid w:val="4DD746C4"/>
    <w:rsid w:val="4DDEAF8D"/>
    <w:rsid w:val="4DE1D7F4"/>
    <w:rsid w:val="4DE3DCC9"/>
    <w:rsid w:val="4DE4D820"/>
    <w:rsid w:val="4DE6C940"/>
    <w:rsid w:val="4DE7991C"/>
    <w:rsid w:val="4DE99F8B"/>
    <w:rsid w:val="4DEC9B50"/>
    <w:rsid w:val="4DED7F4F"/>
    <w:rsid w:val="4DEDCC4A"/>
    <w:rsid w:val="4DF2856A"/>
    <w:rsid w:val="4DF5E9D7"/>
    <w:rsid w:val="4DF669CA"/>
    <w:rsid w:val="4DF7241F"/>
    <w:rsid w:val="4DF86FAB"/>
    <w:rsid w:val="4DFA710B"/>
    <w:rsid w:val="4DFD18D1"/>
    <w:rsid w:val="4E0352C9"/>
    <w:rsid w:val="4E03D5C0"/>
    <w:rsid w:val="4E083BDA"/>
    <w:rsid w:val="4E0DB1EE"/>
    <w:rsid w:val="4E116C64"/>
    <w:rsid w:val="4E1220A1"/>
    <w:rsid w:val="4E1254E8"/>
    <w:rsid w:val="4E168568"/>
    <w:rsid w:val="4E1D31D2"/>
    <w:rsid w:val="4E1D97D7"/>
    <w:rsid w:val="4E2401FF"/>
    <w:rsid w:val="4E26DC01"/>
    <w:rsid w:val="4E2B24C1"/>
    <w:rsid w:val="4E30F817"/>
    <w:rsid w:val="4E315366"/>
    <w:rsid w:val="4E3423AD"/>
    <w:rsid w:val="4E3BFC6B"/>
    <w:rsid w:val="4E3FF5C5"/>
    <w:rsid w:val="4E42CD17"/>
    <w:rsid w:val="4E4A112E"/>
    <w:rsid w:val="4E4B1AFA"/>
    <w:rsid w:val="4E4C6565"/>
    <w:rsid w:val="4E51DFB6"/>
    <w:rsid w:val="4E533DD6"/>
    <w:rsid w:val="4E53E952"/>
    <w:rsid w:val="4E58227E"/>
    <w:rsid w:val="4E591624"/>
    <w:rsid w:val="4E5E0A0E"/>
    <w:rsid w:val="4E6103AA"/>
    <w:rsid w:val="4E66B800"/>
    <w:rsid w:val="4E68DF94"/>
    <w:rsid w:val="4E70F6AE"/>
    <w:rsid w:val="4E74E9B8"/>
    <w:rsid w:val="4E76EC2F"/>
    <w:rsid w:val="4E774F31"/>
    <w:rsid w:val="4E79CA69"/>
    <w:rsid w:val="4E7B1FB7"/>
    <w:rsid w:val="4E7D09CD"/>
    <w:rsid w:val="4E7DF24B"/>
    <w:rsid w:val="4E7E9676"/>
    <w:rsid w:val="4E7F4BEC"/>
    <w:rsid w:val="4E7FB2B1"/>
    <w:rsid w:val="4E8313BD"/>
    <w:rsid w:val="4E87F82D"/>
    <w:rsid w:val="4E8C6B45"/>
    <w:rsid w:val="4E931DA3"/>
    <w:rsid w:val="4E950724"/>
    <w:rsid w:val="4E971838"/>
    <w:rsid w:val="4E97D7F2"/>
    <w:rsid w:val="4E9873F7"/>
    <w:rsid w:val="4E9B3FDF"/>
    <w:rsid w:val="4E9B4B87"/>
    <w:rsid w:val="4E9F277E"/>
    <w:rsid w:val="4EA44D54"/>
    <w:rsid w:val="4EA7380A"/>
    <w:rsid w:val="4EA86809"/>
    <w:rsid w:val="4EAB1E39"/>
    <w:rsid w:val="4EAC57EF"/>
    <w:rsid w:val="4EACE8AF"/>
    <w:rsid w:val="4EADC759"/>
    <w:rsid w:val="4EB1008B"/>
    <w:rsid w:val="4EB25DD8"/>
    <w:rsid w:val="4EC228F6"/>
    <w:rsid w:val="4EC668E2"/>
    <w:rsid w:val="4EC7ACF5"/>
    <w:rsid w:val="4EC9391A"/>
    <w:rsid w:val="4ECEB2A7"/>
    <w:rsid w:val="4ED2859B"/>
    <w:rsid w:val="4ED35F7C"/>
    <w:rsid w:val="4ED972F4"/>
    <w:rsid w:val="4EDCDFA7"/>
    <w:rsid w:val="4EDE4AB6"/>
    <w:rsid w:val="4EE1FCAC"/>
    <w:rsid w:val="4EE45153"/>
    <w:rsid w:val="4EE729D9"/>
    <w:rsid w:val="4EEC1C19"/>
    <w:rsid w:val="4EEC2538"/>
    <w:rsid w:val="4EF1A98E"/>
    <w:rsid w:val="4EF6D901"/>
    <w:rsid w:val="4EF712A2"/>
    <w:rsid w:val="4EFAA3D4"/>
    <w:rsid w:val="4EFB1D8D"/>
    <w:rsid w:val="4EFB4745"/>
    <w:rsid w:val="4EFC3019"/>
    <w:rsid w:val="4EFCC4F6"/>
    <w:rsid w:val="4EFD7B7C"/>
    <w:rsid w:val="4F0413ED"/>
    <w:rsid w:val="4F0ACA87"/>
    <w:rsid w:val="4F11A773"/>
    <w:rsid w:val="4F1C7357"/>
    <w:rsid w:val="4F1CC3B1"/>
    <w:rsid w:val="4F1D37DA"/>
    <w:rsid w:val="4F2279E0"/>
    <w:rsid w:val="4F25507C"/>
    <w:rsid w:val="4F25906F"/>
    <w:rsid w:val="4F25C28F"/>
    <w:rsid w:val="4F2A2ECA"/>
    <w:rsid w:val="4F2C4337"/>
    <w:rsid w:val="4F2C47D1"/>
    <w:rsid w:val="4F313AA2"/>
    <w:rsid w:val="4F322BB0"/>
    <w:rsid w:val="4F372250"/>
    <w:rsid w:val="4F3E5509"/>
    <w:rsid w:val="4F3E6C46"/>
    <w:rsid w:val="4F3EAFF2"/>
    <w:rsid w:val="4F47AF10"/>
    <w:rsid w:val="4F48C5D1"/>
    <w:rsid w:val="4F49C7BE"/>
    <w:rsid w:val="4F4A8E0A"/>
    <w:rsid w:val="4F4F75CD"/>
    <w:rsid w:val="4F51B96E"/>
    <w:rsid w:val="4F56A0D6"/>
    <w:rsid w:val="4F580950"/>
    <w:rsid w:val="4F58A442"/>
    <w:rsid w:val="4F5EE8A1"/>
    <w:rsid w:val="4F68EE5D"/>
    <w:rsid w:val="4F6ED20A"/>
    <w:rsid w:val="4F6F3542"/>
    <w:rsid w:val="4F7A20CE"/>
    <w:rsid w:val="4F803BBC"/>
    <w:rsid w:val="4F81F41A"/>
    <w:rsid w:val="4F829428"/>
    <w:rsid w:val="4F841FBD"/>
    <w:rsid w:val="4F85439A"/>
    <w:rsid w:val="4F85FE90"/>
    <w:rsid w:val="4F898DA0"/>
    <w:rsid w:val="4F8AC390"/>
    <w:rsid w:val="4F900BD7"/>
    <w:rsid w:val="4F934D98"/>
    <w:rsid w:val="4F97D8E5"/>
    <w:rsid w:val="4F9B82B2"/>
    <w:rsid w:val="4F9C9B4D"/>
    <w:rsid w:val="4FA45CF9"/>
    <w:rsid w:val="4FA7F906"/>
    <w:rsid w:val="4FA9824F"/>
    <w:rsid w:val="4FA9A068"/>
    <w:rsid w:val="4FAE47F8"/>
    <w:rsid w:val="4FAE87AE"/>
    <w:rsid w:val="4FB3F6D9"/>
    <w:rsid w:val="4FB69228"/>
    <w:rsid w:val="4FBE07A9"/>
    <w:rsid w:val="4FBF1D4C"/>
    <w:rsid w:val="4FC3A8A0"/>
    <w:rsid w:val="4FC66D5C"/>
    <w:rsid w:val="4FC7EEF1"/>
    <w:rsid w:val="4FCD85D5"/>
    <w:rsid w:val="4FD3F811"/>
    <w:rsid w:val="4FD4A89B"/>
    <w:rsid w:val="4FD8130C"/>
    <w:rsid w:val="4FDA8FF1"/>
    <w:rsid w:val="4FDB27AB"/>
    <w:rsid w:val="4FDD3EC1"/>
    <w:rsid w:val="4FDF4C9C"/>
    <w:rsid w:val="4FE1C876"/>
    <w:rsid w:val="4FE2F2ED"/>
    <w:rsid w:val="4FE32A37"/>
    <w:rsid w:val="4FE48E64"/>
    <w:rsid w:val="4FE5BBD8"/>
    <w:rsid w:val="4FEB2973"/>
    <w:rsid w:val="4FF1E5F0"/>
    <w:rsid w:val="4FF40A57"/>
    <w:rsid w:val="4FF4ED9C"/>
    <w:rsid w:val="4FFB2C6D"/>
    <w:rsid w:val="4FFE14B2"/>
    <w:rsid w:val="5000BC8D"/>
    <w:rsid w:val="5000FB8F"/>
    <w:rsid w:val="500245B2"/>
    <w:rsid w:val="5005FB78"/>
    <w:rsid w:val="500E89B4"/>
    <w:rsid w:val="5028B2DE"/>
    <w:rsid w:val="502D58B5"/>
    <w:rsid w:val="502EFA9B"/>
    <w:rsid w:val="50387E48"/>
    <w:rsid w:val="503C9A27"/>
    <w:rsid w:val="504EE55A"/>
    <w:rsid w:val="505088F9"/>
    <w:rsid w:val="50549D1D"/>
    <w:rsid w:val="5054B8A9"/>
    <w:rsid w:val="5058777D"/>
    <w:rsid w:val="50600CA4"/>
    <w:rsid w:val="50602214"/>
    <w:rsid w:val="50609F8A"/>
    <w:rsid w:val="506642A6"/>
    <w:rsid w:val="506CFD6F"/>
    <w:rsid w:val="506EBA7B"/>
    <w:rsid w:val="50713EB0"/>
    <w:rsid w:val="507292F3"/>
    <w:rsid w:val="5072BC72"/>
    <w:rsid w:val="5072D776"/>
    <w:rsid w:val="50747997"/>
    <w:rsid w:val="50774C7C"/>
    <w:rsid w:val="50789749"/>
    <w:rsid w:val="50793AC1"/>
    <w:rsid w:val="507AAB1E"/>
    <w:rsid w:val="507B9FAC"/>
    <w:rsid w:val="507F47DC"/>
    <w:rsid w:val="507F7457"/>
    <w:rsid w:val="5080FA68"/>
    <w:rsid w:val="50810450"/>
    <w:rsid w:val="5081E213"/>
    <w:rsid w:val="50860308"/>
    <w:rsid w:val="508679CC"/>
    <w:rsid w:val="508785D2"/>
    <w:rsid w:val="508AF57D"/>
    <w:rsid w:val="508D9086"/>
    <w:rsid w:val="5093694F"/>
    <w:rsid w:val="5095BF24"/>
    <w:rsid w:val="509630B7"/>
    <w:rsid w:val="509B7475"/>
    <w:rsid w:val="509BC913"/>
    <w:rsid w:val="509CB47C"/>
    <w:rsid w:val="509D6AF6"/>
    <w:rsid w:val="509E40CF"/>
    <w:rsid w:val="50B03BCF"/>
    <w:rsid w:val="50B0C519"/>
    <w:rsid w:val="50B27782"/>
    <w:rsid w:val="50BC7442"/>
    <w:rsid w:val="50BCEAAB"/>
    <w:rsid w:val="50BDF399"/>
    <w:rsid w:val="50BF12A6"/>
    <w:rsid w:val="50C368C2"/>
    <w:rsid w:val="50C506B9"/>
    <w:rsid w:val="50C6D4BC"/>
    <w:rsid w:val="50C7853E"/>
    <w:rsid w:val="50C81E1C"/>
    <w:rsid w:val="50C8BA7A"/>
    <w:rsid w:val="50D00D52"/>
    <w:rsid w:val="50D0669B"/>
    <w:rsid w:val="50D6684F"/>
    <w:rsid w:val="50D731AF"/>
    <w:rsid w:val="50D78339"/>
    <w:rsid w:val="50D93CFF"/>
    <w:rsid w:val="50DE6451"/>
    <w:rsid w:val="50DF49D7"/>
    <w:rsid w:val="50DFE6DA"/>
    <w:rsid w:val="50EE4A93"/>
    <w:rsid w:val="50F03F12"/>
    <w:rsid w:val="50F0A558"/>
    <w:rsid w:val="50F40CBC"/>
    <w:rsid w:val="50F6BBAE"/>
    <w:rsid w:val="50F6E85C"/>
    <w:rsid w:val="50F93B94"/>
    <w:rsid w:val="50F9FAD6"/>
    <w:rsid w:val="50FD402A"/>
    <w:rsid w:val="51011EC7"/>
    <w:rsid w:val="51066B02"/>
    <w:rsid w:val="51088F70"/>
    <w:rsid w:val="510C488C"/>
    <w:rsid w:val="510E83AC"/>
    <w:rsid w:val="51111C43"/>
    <w:rsid w:val="5111B67E"/>
    <w:rsid w:val="5115F12F"/>
    <w:rsid w:val="5117E7AB"/>
    <w:rsid w:val="51182235"/>
    <w:rsid w:val="5119DAC5"/>
    <w:rsid w:val="512088DD"/>
    <w:rsid w:val="5122C4B8"/>
    <w:rsid w:val="512859BD"/>
    <w:rsid w:val="51290763"/>
    <w:rsid w:val="512A6B31"/>
    <w:rsid w:val="512C1CA0"/>
    <w:rsid w:val="51308E67"/>
    <w:rsid w:val="51337444"/>
    <w:rsid w:val="5135F399"/>
    <w:rsid w:val="5136838E"/>
    <w:rsid w:val="513C8C9C"/>
    <w:rsid w:val="51417527"/>
    <w:rsid w:val="514F32A7"/>
    <w:rsid w:val="51521A29"/>
    <w:rsid w:val="51532FDD"/>
    <w:rsid w:val="5155E56D"/>
    <w:rsid w:val="51560026"/>
    <w:rsid w:val="5159E830"/>
    <w:rsid w:val="515ADF19"/>
    <w:rsid w:val="516361B5"/>
    <w:rsid w:val="516695B3"/>
    <w:rsid w:val="5167FBD6"/>
    <w:rsid w:val="516891A3"/>
    <w:rsid w:val="516A0066"/>
    <w:rsid w:val="516ACE87"/>
    <w:rsid w:val="516B26AE"/>
    <w:rsid w:val="516E7EB4"/>
    <w:rsid w:val="516FD464"/>
    <w:rsid w:val="5173D6BB"/>
    <w:rsid w:val="5176BA65"/>
    <w:rsid w:val="517A2D10"/>
    <w:rsid w:val="517B3DA4"/>
    <w:rsid w:val="517EE2F6"/>
    <w:rsid w:val="5182C58E"/>
    <w:rsid w:val="518803AE"/>
    <w:rsid w:val="518AA093"/>
    <w:rsid w:val="518E5FD9"/>
    <w:rsid w:val="5194B78C"/>
    <w:rsid w:val="51975A40"/>
    <w:rsid w:val="51A0698C"/>
    <w:rsid w:val="51A15502"/>
    <w:rsid w:val="51A27B51"/>
    <w:rsid w:val="51A88786"/>
    <w:rsid w:val="51B280B7"/>
    <w:rsid w:val="51B925B6"/>
    <w:rsid w:val="51C58938"/>
    <w:rsid w:val="51C866AC"/>
    <w:rsid w:val="51CACAFC"/>
    <w:rsid w:val="51CB9CFE"/>
    <w:rsid w:val="51CC899A"/>
    <w:rsid w:val="51CF7939"/>
    <w:rsid w:val="51CF8D14"/>
    <w:rsid w:val="51D04B98"/>
    <w:rsid w:val="51D0A8A1"/>
    <w:rsid w:val="51D55409"/>
    <w:rsid w:val="51D96C88"/>
    <w:rsid w:val="51DDE5B2"/>
    <w:rsid w:val="51DFC170"/>
    <w:rsid w:val="51E3C69B"/>
    <w:rsid w:val="51E5C84C"/>
    <w:rsid w:val="51E5FAD8"/>
    <w:rsid w:val="51E7E9E0"/>
    <w:rsid w:val="51E96AE6"/>
    <w:rsid w:val="51EB6E2E"/>
    <w:rsid w:val="51EB80AC"/>
    <w:rsid w:val="51EDE75B"/>
    <w:rsid w:val="51EEF51E"/>
    <w:rsid w:val="51F2E4FC"/>
    <w:rsid w:val="51F7B61C"/>
    <w:rsid w:val="51F8115C"/>
    <w:rsid w:val="51FAF5C7"/>
    <w:rsid w:val="51FBBA9A"/>
    <w:rsid w:val="52005655"/>
    <w:rsid w:val="5201FF4D"/>
    <w:rsid w:val="5205C684"/>
    <w:rsid w:val="5207DC32"/>
    <w:rsid w:val="5209DE5D"/>
    <w:rsid w:val="520A0DC3"/>
    <w:rsid w:val="520FCBB4"/>
    <w:rsid w:val="521C2689"/>
    <w:rsid w:val="521C82F4"/>
    <w:rsid w:val="521C9AE8"/>
    <w:rsid w:val="521E320F"/>
    <w:rsid w:val="521EBCB4"/>
    <w:rsid w:val="52224A2D"/>
    <w:rsid w:val="52255AA5"/>
    <w:rsid w:val="5226549F"/>
    <w:rsid w:val="52267CA7"/>
    <w:rsid w:val="522946DF"/>
    <w:rsid w:val="522BFF30"/>
    <w:rsid w:val="522E7A53"/>
    <w:rsid w:val="5230CA31"/>
    <w:rsid w:val="52315F79"/>
    <w:rsid w:val="52334DD3"/>
    <w:rsid w:val="5238B78A"/>
    <w:rsid w:val="523C4167"/>
    <w:rsid w:val="524272C5"/>
    <w:rsid w:val="52470C40"/>
    <w:rsid w:val="52497DF9"/>
    <w:rsid w:val="524EA885"/>
    <w:rsid w:val="525CF4BD"/>
    <w:rsid w:val="52641294"/>
    <w:rsid w:val="526658FA"/>
    <w:rsid w:val="5267FDF7"/>
    <w:rsid w:val="5268B957"/>
    <w:rsid w:val="52695253"/>
    <w:rsid w:val="526D9744"/>
    <w:rsid w:val="526F8C7C"/>
    <w:rsid w:val="527010E9"/>
    <w:rsid w:val="5270EE46"/>
    <w:rsid w:val="5272CCEB"/>
    <w:rsid w:val="5276C6EC"/>
    <w:rsid w:val="527D0317"/>
    <w:rsid w:val="52968EDA"/>
    <w:rsid w:val="52A7ABF8"/>
    <w:rsid w:val="52A83B14"/>
    <w:rsid w:val="52A9AB90"/>
    <w:rsid w:val="52AA3494"/>
    <w:rsid w:val="52AF5BF5"/>
    <w:rsid w:val="52AF9F2A"/>
    <w:rsid w:val="52B3A4FC"/>
    <w:rsid w:val="52B68544"/>
    <w:rsid w:val="52B8A482"/>
    <w:rsid w:val="52BBFE7B"/>
    <w:rsid w:val="52BD888B"/>
    <w:rsid w:val="52BE7DCF"/>
    <w:rsid w:val="52C1BB47"/>
    <w:rsid w:val="52C2024A"/>
    <w:rsid w:val="52C2F7BA"/>
    <w:rsid w:val="52C50065"/>
    <w:rsid w:val="52C526F1"/>
    <w:rsid w:val="52CB0515"/>
    <w:rsid w:val="52CBDD69"/>
    <w:rsid w:val="52CC47EB"/>
    <w:rsid w:val="52CC5050"/>
    <w:rsid w:val="52D232DD"/>
    <w:rsid w:val="52DC5E43"/>
    <w:rsid w:val="52DD2DD9"/>
    <w:rsid w:val="52DEA702"/>
    <w:rsid w:val="52E09288"/>
    <w:rsid w:val="52E0C01B"/>
    <w:rsid w:val="52E1537F"/>
    <w:rsid w:val="52E53E65"/>
    <w:rsid w:val="52E58F81"/>
    <w:rsid w:val="52E6C7BC"/>
    <w:rsid w:val="52EB876D"/>
    <w:rsid w:val="52F39B4D"/>
    <w:rsid w:val="52F41550"/>
    <w:rsid w:val="52F5AD9D"/>
    <w:rsid w:val="52FF3B51"/>
    <w:rsid w:val="53004FB2"/>
    <w:rsid w:val="5301E892"/>
    <w:rsid w:val="5309D438"/>
    <w:rsid w:val="5309FE88"/>
    <w:rsid w:val="530AE54F"/>
    <w:rsid w:val="530BE108"/>
    <w:rsid w:val="530D1DA0"/>
    <w:rsid w:val="530DD5A2"/>
    <w:rsid w:val="530E32B3"/>
    <w:rsid w:val="5310B7DA"/>
    <w:rsid w:val="5312F7D4"/>
    <w:rsid w:val="53144613"/>
    <w:rsid w:val="53196938"/>
    <w:rsid w:val="531A88D1"/>
    <w:rsid w:val="531B4874"/>
    <w:rsid w:val="531CBDE3"/>
    <w:rsid w:val="531D1472"/>
    <w:rsid w:val="53220AD0"/>
    <w:rsid w:val="5325596D"/>
    <w:rsid w:val="532583E2"/>
    <w:rsid w:val="5331422F"/>
    <w:rsid w:val="5331915D"/>
    <w:rsid w:val="53374B96"/>
    <w:rsid w:val="533B25FA"/>
    <w:rsid w:val="533C0A43"/>
    <w:rsid w:val="533D5B0C"/>
    <w:rsid w:val="533DD99F"/>
    <w:rsid w:val="534070AB"/>
    <w:rsid w:val="534320DF"/>
    <w:rsid w:val="5347FD74"/>
    <w:rsid w:val="534C5E3F"/>
    <w:rsid w:val="534C8DD4"/>
    <w:rsid w:val="534E0356"/>
    <w:rsid w:val="5352AAE4"/>
    <w:rsid w:val="5354C8A5"/>
    <w:rsid w:val="5357171B"/>
    <w:rsid w:val="5359DB7F"/>
    <w:rsid w:val="535B7217"/>
    <w:rsid w:val="535C4C65"/>
    <w:rsid w:val="535D8942"/>
    <w:rsid w:val="535EEA8A"/>
    <w:rsid w:val="535F7B72"/>
    <w:rsid w:val="536018CA"/>
    <w:rsid w:val="53659FAD"/>
    <w:rsid w:val="53669B5D"/>
    <w:rsid w:val="5369DD9C"/>
    <w:rsid w:val="536A4EE3"/>
    <w:rsid w:val="536C7100"/>
    <w:rsid w:val="536D28C8"/>
    <w:rsid w:val="536DF9C3"/>
    <w:rsid w:val="53710C61"/>
    <w:rsid w:val="5371A7CB"/>
    <w:rsid w:val="53753B58"/>
    <w:rsid w:val="537CB79E"/>
    <w:rsid w:val="537D11AC"/>
    <w:rsid w:val="537F4465"/>
    <w:rsid w:val="53826F1B"/>
    <w:rsid w:val="5388BC28"/>
    <w:rsid w:val="538EACC2"/>
    <w:rsid w:val="5395AE8F"/>
    <w:rsid w:val="53981C49"/>
    <w:rsid w:val="539BEDB3"/>
    <w:rsid w:val="539D929A"/>
    <w:rsid w:val="539E3F36"/>
    <w:rsid w:val="53A587CC"/>
    <w:rsid w:val="53A705DE"/>
    <w:rsid w:val="53ADCF37"/>
    <w:rsid w:val="53ADD338"/>
    <w:rsid w:val="53BB749B"/>
    <w:rsid w:val="53C2B4B1"/>
    <w:rsid w:val="53C5EDC7"/>
    <w:rsid w:val="53C9AB6F"/>
    <w:rsid w:val="53D32EE8"/>
    <w:rsid w:val="53DAC733"/>
    <w:rsid w:val="53E25746"/>
    <w:rsid w:val="53E35AE9"/>
    <w:rsid w:val="53E550D4"/>
    <w:rsid w:val="53F1FA7A"/>
    <w:rsid w:val="53F3A564"/>
    <w:rsid w:val="53F3EFC6"/>
    <w:rsid w:val="53F856F9"/>
    <w:rsid w:val="53FC2DCB"/>
    <w:rsid w:val="54007D5B"/>
    <w:rsid w:val="5402AAA3"/>
    <w:rsid w:val="5402D910"/>
    <w:rsid w:val="54055E79"/>
    <w:rsid w:val="540AAD0E"/>
    <w:rsid w:val="540BAC1B"/>
    <w:rsid w:val="540DDBDD"/>
    <w:rsid w:val="540F93FB"/>
    <w:rsid w:val="5418BDC1"/>
    <w:rsid w:val="541CB55E"/>
    <w:rsid w:val="541D6DC1"/>
    <w:rsid w:val="542CE9F5"/>
    <w:rsid w:val="542D4933"/>
    <w:rsid w:val="542DA5DA"/>
    <w:rsid w:val="542F4106"/>
    <w:rsid w:val="542FA7DB"/>
    <w:rsid w:val="5431C6FC"/>
    <w:rsid w:val="5432D6AB"/>
    <w:rsid w:val="543A27D5"/>
    <w:rsid w:val="543D9CC7"/>
    <w:rsid w:val="543FD936"/>
    <w:rsid w:val="54440359"/>
    <w:rsid w:val="5444A76F"/>
    <w:rsid w:val="544957D4"/>
    <w:rsid w:val="5449E2FB"/>
    <w:rsid w:val="544ACC5D"/>
    <w:rsid w:val="544B25D4"/>
    <w:rsid w:val="544CDC7B"/>
    <w:rsid w:val="54517FED"/>
    <w:rsid w:val="5455656C"/>
    <w:rsid w:val="5459471D"/>
    <w:rsid w:val="545DB219"/>
    <w:rsid w:val="5462CBE4"/>
    <w:rsid w:val="5462E4C4"/>
    <w:rsid w:val="546696D6"/>
    <w:rsid w:val="547098C3"/>
    <w:rsid w:val="547247FC"/>
    <w:rsid w:val="547570DC"/>
    <w:rsid w:val="5480059E"/>
    <w:rsid w:val="54882D5F"/>
    <w:rsid w:val="54884537"/>
    <w:rsid w:val="5490386F"/>
    <w:rsid w:val="54958CDC"/>
    <w:rsid w:val="5498A6C9"/>
    <w:rsid w:val="549AA757"/>
    <w:rsid w:val="549B317D"/>
    <w:rsid w:val="549CFFCE"/>
    <w:rsid w:val="54A1046A"/>
    <w:rsid w:val="54A22ECC"/>
    <w:rsid w:val="54A3875D"/>
    <w:rsid w:val="54A6D011"/>
    <w:rsid w:val="54A80563"/>
    <w:rsid w:val="54AA8AEB"/>
    <w:rsid w:val="54B2B961"/>
    <w:rsid w:val="54B924E8"/>
    <w:rsid w:val="54B98EBF"/>
    <w:rsid w:val="54B99AA1"/>
    <w:rsid w:val="54BB2BEB"/>
    <w:rsid w:val="54BC3C53"/>
    <w:rsid w:val="54BEE357"/>
    <w:rsid w:val="54C2ECFB"/>
    <w:rsid w:val="54C46229"/>
    <w:rsid w:val="54C58EB2"/>
    <w:rsid w:val="54C85EBF"/>
    <w:rsid w:val="54C8BD1E"/>
    <w:rsid w:val="54C8D3D6"/>
    <w:rsid w:val="54C9FF25"/>
    <w:rsid w:val="54CA8AEF"/>
    <w:rsid w:val="54CFA831"/>
    <w:rsid w:val="54D1DE07"/>
    <w:rsid w:val="54D3445D"/>
    <w:rsid w:val="54E213E3"/>
    <w:rsid w:val="54EB89FF"/>
    <w:rsid w:val="54EE58BC"/>
    <w:rsid w:val="54EECB3B"/>
    <w:rsid w:val="54EF34D7"/>
    <w:rsid w:val="54EFC38F"/>
    <w:rsid w:val="54F030E7"/>
    <w:rsid w:val="54F81674"/>
    <w:rsid w:val="54FB992D"/>
    <w:rsid w:val="54FDF168"/>
    <w:rsid w:val="54FDF58F"/>
    <w:rsid w:val="5501A793"/>
    <w:rsid w:val="55023F43"/>
    <w:rsid w:val="55026BBE"/>
    <w:rsid w:val="55049E32"/>
    <w:rsid w:val="5504C3E3"/>
    <w:rsid w:val="550A45E4"/>
    <w:rsid w:val="550B5FCD"/>
    <w:rsid w:val="551D29E6"/>
    <w:rsid w:val="55208A81"/>
    <w:rsid w:val="552100FD"/>
    <w:rsid w:val="55272A46"/>
    <w:rsid w:val="5528977C"/>
    <w:rsid w:val="552BA5B1"/>
    <w:rsid w:val="552C991B"/>
    <w:rsid w:val="552E127D"/>
    <w:rsid w:val="552F90D8"/>
    <w:rsid w:val="55371AC9"/>
    <w:rsid w:val="55394E24"/>
    <w:rsid w:val="553962FB"/>
    <w:rsid w:val="553FE547"/>
    <w:rsid w:val="5540C189"/>
    <w:rsid w:val="55438743"/>
    <w:rsid w:val="554F2A9B"/>
    <w:rsid w:val="554F57D2"/>
    <w:rsid w:val="5550645E"/>
    <w:rsid w:val="5555C528"/>
    <w:rsid w:val="5556087C"/>
    <w:rsid w:val="555881A2"/>
    <w:rsid w:val="555A4A35"/>
    <w:rsid w:val="555B77C9"/>
    <w:rsid w:val="555F67C8"/>
    <w:rsid w:val="5561114F"/>
    <w:rsid w:val="55640E68"/>
    <w:rsid w:val="556472F2"/>
    <w:rsid w:val="55654DC6"/>
    <w:rsid w:val="5565E082"/>
    <w:rsid w:val="55697857"/>
    <w:rsid w:val="556DA5DC"/>
    <w:rsid w:val="5572B9AD"/>
    <w:rsid w:val="5572E1CD"/>
    <w:rsid w:val="5574FB11"/>
    <w:rsid w:val="5575AC9E"/>
    <w:rsid w:val="557894BB"/>
    <w:rsid w:val="557C9AA0"/>
    <w:rsid w:val="557CAF35"/>
    <w:rsid w:val="55828E04"/>
    <w:rsid w:val="55895C9C"/>
    <w:rsid w:val="558A513E"/>
    <w:rsid w:val="558E894E"/>
    <w:rsid w:val="558FA7CA"/>
    <w:rsid w:val="559925AF"/>
    <w:rsid w:val="559CA3BF"/>
    <w:rsid w:val="559DC019"/>
    <w:rsid w:val="55A81F11"/>
    <w:rsid w:val="55ACA556"/>
    <w:rsid w:val="55B087F6"/>
    <w:rsid w:val="55BBCD85"/>
    <w:rsid w:val="55C03890"/>
    <w:rsid w:val="55C3A48A"/>
    <w:rsid w:val="55C40821"/>
    <w:rsid w:val="55C66E33"/>
    <w:rsid w:val="55C934B4"/>
    <w:rsid w:val="55CA70CA"/>
    <w:rsid w:val="55CB0EAC"/>
    <w:rsid w:val="55CE77A4"/>
    <w:rsid w:val="55CF22A0"/>
    <w:rsid w:val="55D1D03B"/>
    <w:rsid w:val="55D7B03B"/>
    <w:rsid w:val="55DB5D3D"/>
    <w:rsid w:val="55DBB0F2"/>
    <w:rsid w:val="55DE5A13"/>
    <w:rsid w:val="55E13194"/>
    <w:rsid w:val="55E484FE"/>
    <w:rsid w:val="55E6B03A"/>
    <w:rsid w:val="55EA8866"/>
    <w:rsid w:val="55EB12DC"/>
    <w:rsid w:val="55EB7058"/>
    <w:rsid w:val="55ED6F07"/>
    <w:rsid w:val="55EE6007"/>
    <w:rsid w:val="55EE7ADA"/>
    <w:rsid w:val="55EF68A1"/>
    <w:rsid w:val="55F2CCDB"/>
    <w:rsid w:val="55F52B4C"/>
    <w:rsid w:val="55F7F99D"/>
    <w:rsid w:val="55FA12C6"/>
    <w:rsid w:val="55FA23A2"/>
    <w:rsid w:val="55FE495D"/>
    <w:rsid w:val="560269DA"/>
    <w:rsid w:val="560310DF"/>
    <w:rsid w:val="56070204"/>
    <w:rsid w:val="56081072"/>
    <w:rsid w:val="560825F3"/>
    <w:rsid w:val="5608AE2C"/>
    <w:rsid w:val="560D25F9"/>
    <w:rsid w:val="5614C02C"/>
    <w:rsid w:val="5615A385"/>
    <w:rsid w:val="56193012"/>
    <w:rsid w:val="561CED2D"/>
    <w:rsid w:val="5620031D"/>
    <w:rsid w:val="5621835F"/>
    <w:rsid w:val="56218B93"/>
    <w:rsid w:val="5622B214"/>
    <w:rsid w:val="5625ABB4"/>
    <w:rsid w:val="5625D0C5"/>
    <w:rsid w:val="562AB692"/>
    <w:rsid w:val="562D8F08"/>
    <w:rsid w:val="562DF6F8"/>
    <w:rsid w:val="562E942A"/>
    <w:rsid w:val="562FC620"/>
    <w:rsid w:val="563062C3"/>
    <w:rsid w:val="5632AFD5"/>
    <w:rsid w:val="563411D4"/>
    <w:rsid w:val="5635487E"/>
    <w:rsid w:val="56398EC4"/>
    <w:rsid w:val="563B01C7"/>
    <w:rsid w:val="56471833"/>
    <w:rsid w:val="564FF6A6"/>
    <w:rsid w:val="56518867"/>
    <w:rsid w:val="5654CCAC"/>
    <w:rsid w:val="565CEA02"/>
    <w:rsid w:val="56606F7D"/>
    <w:rsid w:val="56629AF4"/>
    <w:rsid w:val="56658920"/>
    <w:rsid w:val="56669291"/>
    <w:rsid w:val="56682F77"/>
    <w:rsid w:val="566859A6"/>
    <w:rsid w:val="566B16C3"/>
    <w:rsid w:val="566B9A1C"/>
    <w:rsid w:val="566E8C4C"/>
    <w:rsid w:val="567129F0"/>
    <w:rsid w:val="56746674"/>
    <w:rsid w:val="56750B66"/>
    <w:rsid w:val="56776A7F"/>
    <w:rsid w:val="5679301D"/>
    <w:rsid w:val="567CB648"/>
    <w:rsid w:val="567DCB38"/>
    <w:rsid w:val="568CB985"/>
    <w:rsid w:val="568FA235"/>
    <w:rsid w:val="569498BD"/>
    <w:rsid w:val="569761C4"/>
    <w:rsid w:val="56985F6B"/>
    <w:rsid w:val="569B0D8F"/>
    <w:rsid w:val="569DF42C"/>
    <w:rsid w:val="569E81F0"/>
    <w:rsid w:val="569F6680"/>
    <w:rsid w:val="56A17E5E"/>
    <w:rsid w:val="56A49583"/>
    <w:rsid w:val="56A7BFCC"/>
    <w:rsid w:val="56AA5546"/>
    <w:rsid w:val="56AAB320"/>
    <w:rsid w:val="56AD8628"/>
    <w:rsid w:val="56B14C6D"/>
    <w:rsid w:val="56B5B96B"/>
    <w:rsid w:val="56B715D1"/>
    <w:rsid w:val="56B8A561"/>
    <w:rsid w:val="56B8A616"/>
    <w:rsid w:val="56BEC800"/>
    <w:rsid w:val="56BF047E"/>
    <w:rsid w:val="56C26E18"/>
    <w:rsid w:val="56C38179"/>
    <w:rsid w:val="56C3F3F9"/>
    <w:rsid w:val="56C49A72"/>
    <w:rsid w:val="56D35D1C"/>
    <w:rsid w:val="56D6EFFA"/>
    <w:rsid w:val="56D797FD"/>
    <w:rsid w:val="56DAC09F"/>
    <w:rsid w:val="56E16A71"/>
    <w:rsid w:val="56E20EEB"/>
    <w:rsid w:val="56E4135D"/>
    <w:rsid w:val="56E6D63B"/>
    <w:rsid w:val="56EDC8A8"/>
    <w:rsid w:val="56F0E0A8"/>
    <w:rsid w:val="56FA23D6"/>
    <w:rsid w:val="56FC1930"/>
    <w:rsid w:val="56FCAED0"/>
    <w:rsid w:val="56FD0AC2"/>
    <w:rsid w:val="56FF3C83"/>
    <w:rsid w:val="570B418E"/>
    <w:rsid w:val="571098FC"/>
    <w:rsid w:val="5710F652"/>
    <w:rsid w:val="57114801"/>
    <w:rsid w:val="57162D3B"/>
    <w:rsid w:val="5717448F"/>
    <w:rsid w:val="571930B7"/>
    <w:rsid w:val="5719DE9A"/>
    <w:rsid w:val="571A2830"/>
    <w:rsid w:val="571DF26D"/>
    <w:rsid w:val="57299B3C"/>
    <w:rsid w:val="573225AF"/>
    <w:rsid w:val="57369142"/>
    <w:rsid w:val="57384FC2"/>
    <w:rsid w:val="573C7085"/>
    <w:rsid w:val="573F4244"/>
    <w:rsid w:val="5743820C"/>
    <w:rsid w:val="57444A0B"/>
    <w:rsid w:val="5744A69D"/>
    <w:rsid w:val="574CB1F5"/>
    <w:rsid w:val="575706D4"/>
    <w:rsid w:val="575F266B"/>
    <w:rsid w:val="57621196"/>
    <w:rsid w:val="57624D19"/>
    <w:rsid w:val="5762972A"/>
    <w:rsid w:val="5762B383"/>
    <w:rsid w:val="57646C9F"/>
    <w:rsid w:val="5765150B"/>
    <w:rsid w:val="57661C0D"/>
    <w:rsid w:val="57664515"/>
    <w:rsid w:val="57676D22"/>
    <w:rsid w:val="57693C5A"/>
    <w:rsid w:val="5769BB86"/>
    <w:rsid w:val="576FA9CC"/>
    <w:rsid w:val="57774CE3"/>
    <w:rsid w:val="57779A67"/>
    <w:rsid w:val="57790A7C"/>
    <w:rsid w:val="5779E013"/>
    <w:rsid w:val="57834998"/>
    <w:rsid w:val="57852E50"/>
    <w:rsid w:val="578574C8"/>
    <w:rsid w:val="578DF813"/>
    <w:rsid w:val="57908316"/>
    <w:rsid w:val="5793F17D"/>
    <w:rsid w:val="57961963"/>
    <w:rsid w:val="579BB2FB"/>
    <w:rsid w:val="579C114E"/>
    <w:rsid w:val="579CCC9F"/>
    <w:rsid w:val="57A38BDF"/>
    <w:rsid w:val="57AC6512"/>
    <w:rsid w:val="57AD5462"/>
    <w:rsid w:val="57B005FB"/>
    <w:rsid w:val="57B03144"/>
    <w:rsid w:val="57BDF616"/>
    <w:rsid w:val="57C0CA58"/>
    <w:rsid w:val="57C1AE47"/>
    <w:rsid w:val="57C889B7"/>
    <w:rsid w:val="57CDE98F"/>
    <w:rsid w:val="57CF5941"/>
    <w:rsid w:val="57D0C7A8"/>
    <w:rsid w:val="57D4820A"/>
    <w:rsid w:val="57D54D9E"/>
    <w:rsid w:val="57DCC03E"/>
    <w:rsid w:val="57E47F7C"/>
    <w:rsid w:val="57E930DB"/>
    <w:rsid w:val="57EA73AF"/>
    <w:rsid w:val="57F0AA83"/>
    <w:rsid w:val="57F37C1F"/>
    <w:rsid w:val="57F409EF"/>
    <w:rsid w:val="57F5E781"/>
    <w:rsid w:val="57F60E10"/>
    <w:rsid w:val="57F7A29F"/>
    <w:rsid w:val="5808AB9A"/>
    <w:rsid w:val="580962B9"/>
    <w:rsid w:val="580A499E"/>
    <w:rsid w:val="580EA5F1"/>
    <w:rsid w:val="580F30DA"/>
    <w:rsid w:val="580FA3A8"/>
    <w:rsid w:val="581745F5"/>
    <w:rsid w:val="581C2C38"/>
    <w:rsid w:val="581F737B"/>
    <w:rsid w:val="58224F16"/>
    <w:rsid w:val="5823FE85"/>
    <w:rsid w:val="582CB4E5"/>
    <w:rsid w:val="582D1E7D"/>
    <w:rsid w:val="5832CB64"/>
    <w:rsid w:val="58387D5A"/>
    <w:rsid w:val="5838A2EB"/>
    <w:rsid w:val="583A6BD4"/>
    <w:rsid w:val="583F5B4E"/>
    <w:rsid w:val="583F83CC"/>
    <w:rsid w:val="583F9525"/>
    <w:rsid w:val="58422DCD"/>
    <w:rsid w:val="5842D138"/>
    <w:rsid w:val="5844958D"/>
    <w:rsid w:val="5846F2AE"/>
    <w:rsid w:val="584C420B"/>
    <w:rsid w:val="584EA8E0"/>
    <w:rsid w:val="58507F7A"/>
    <w:rsid w:val="5857A8E4"/>
    <w:rsid w:val="585C131F"/>
    <w:rsid w:val="585FB17C"/>
    <w:rsid w:val="5864296F"/>
    <w:rsid w:val="5864EA22"/>
    <w:rsid w:val="58650C14"/>
    <w:rsid w:val="58682233"/>
    <w:rsid w:val="586BAC4D"/>
    <w:rsid w:val="586FA582"/>
    <w:rsid w:val="587096CC"/>
    <w:rsid w:val="58719C1A"/>
    <w:rsid w:val="5872838D"/>
    <w:rsid w:val="58734E29"/>
    <w:rsid w:val="58787222"/>
    <w:rsid w:val="587BDC78"/>
    <w:rsid w:val="587CD8F5"/>
    <w:rsid w:val="587EC17C"/>
    <w:rsid w:val="587FACC6"/>
    <w:rsid w:val="587FB03C"/>
    <w:rsid w:val="58869BE1"/>
    <w:rsid w:val="5889B01A"/>
    <w:rsid w:val="588D01B6"/>
    <w:rsid w:val="5890F28E"/>
    <w:rsid w:val="5893A086"/>
    <w:rsid w:val="5893BC16"/>
    <w:rsid w:val="5894C26E"/>
    <w:rsid w:val="5894C4EA"/>
    <w:rsid w:val="58959EE1"/>
    <w:rsid w:val="58973691"/>
    <w:rsid w:val="58A11919"/>
    <w:rsid w:val="58ACCB5C"/>
    <w:rsid w:val="58B078AC"/>
    <w:rsid w:val="58B0B8B1"/>
    <w:rsid w:val="58B15A6E"/>
    <w:rsid w:val="58B37EDB"/>
    <w:rsid w:val="58B3A81C"/>
    <w:rsid w:val="58BC17AC"/>
    <w:rsid w:val="58C28D12"/>
    <w:rsid w:val="58C458A0"/>
    <w:rsid w:val="58C4B036"/>
    <w:rsid w:val="58C60514"/>
    <w:rsid w:val="58C99F90"/>
    <w:rsid w:val="58CA3F63"/>
    <w:rsid w:val="58CB4079"/>
    <w:rsid w:val="58CC42A9"/>
    <w:rsid w:val="58CEBE4C"/>
    <w:rsid w:val="58CED011"/>
    <w:rsid w:val="58D2BE03"/>
    <w:rsid w:val="58D76CCA"/>
    <w:rsid w:val="58D89D6D"/>
    <w:rsid w:val="58DC5BED"/>
    <w:rsid w:val="58DE39BE"/>
    <w:rsid w:val="58DEF014"/>
    <w:rsid w:val="58E02A3A"/>
    <w:rsid w:val="58E0D397"/>
    <w:rsid w:val="58E2E4F8"/>
    <w:rsid w:val="58E708AE"/>
    <w:rsid w:val="58EA4579"/>
    <w:rsid w:val="58EB96FC"/>
    <w:rsid w:val="58EEA28F"/>
    <w:rsid w:val="58F36FFE"/>
    <w:rsid w:val="58F55A9B"/>
    <w:rsid w:val="58F61525"/>
    <w:rsid w:val="58F6D98E"/>
    <w:rsid w:val="58F6E11C"/>
    <w:rsid w:val="58F91144"/>
    <w:rsid w:val="58FBF292"/>
    <w:rsid w:val="58FC07BE"/>
    <w:rsid w:val="59015166"/>
    <w:rsid w:val="59022968"/>
    <w:rsid w:val="59063AD3"/>
    <w:rsid w:val="590D6706"/>
    <w:rsid w:val="590E2589"/>
    <w:rsid w:val="59105086"/>
    <w:rsid w:val="5910F2A1"/>
    <w:rsid w:val="5915C646"/>
    <w:rsid w:val="591A5F54"/>
    <w:rsid w:val="59205E9E"/>
    <w:rsid w:val="5923711E"/>
    <w:rsid w:val="59263170"/>
    <w:rsid w:val="59288AF8"/>
    <w:rsid w:val="592C1EF5"/>
    <w:rsid w:val="592CC583"/>
    <w:rsid w:val="5932F2BA"/>
    <w:rsid w:val="5933E659"/>
    <w:rsid w:val="593B2BAA"/>
    <w:rsid w:val="593DC240"/>
    <w:rsid w:val="59418CCF"/>
    <w:rsid w:val="5943D281"/>
    <w:rsid w:val="594515B8"/>
    <w:rsid w:val="59467DDA"/>
    <w:rsid w:val="5949B257"/>
    <w:rsid w:val="5949FD63"/>
    <w:rsid w:val="595070C1"/>
    <w:rsid w:val="5952DC04"/>
    <w:rsid w:val="5957A4AB"/>
    <w:rsid w:val="5957FE4A"/>
    <w:rsid w:val="595CBE8B"/>
    <w:rsid w:val="595D3F33"/>
    <w:rsid w:val="595E4C15"/>
    <w:rsid w:val="595F27DE"/>
    <w:rsid w:val="5960B133"/>
    <w:rsid w:val="5960B61B"/>
    <w:rsid w:val="5961BCD8"/>
    <w:rsid w:val="5966ADBC"/>
    <w:rsid w:val="5971ABD3"/>
    <w:rsid w:val="597294F8"/>
    <w:rsid w:val="59744ECD"/>
    <w:rsid w:val="5976F837"/>
    <w:rsid w:val="597C1718"/>
    <w:rsid w:val="59809F2A"/>
    <w:rsid w:val="59810AB9"/>
    <w:rsid w:val="59874788"/>
    <w:rsid w:val="598AA462"/>
    <w:rsid w:val="598DCD1D"/>
    <w:rsid w:val="598FBFE3"/>
    <w:rsid w:val="5995B130"/>
    <w:rsid w:val="5995C52B"/>
    <w:rsid w:val="599F092E"/>
    <w:rsid w:val="59A17D21"/>
    <w:rsid w:val="59A60491"/>
    <w:rsid w:val="59A78F4F"/>
    <w:rsid w:val="59BD5E66"/>
    <w:rsid w:val="59BEA2CC"/>
    <w:rsid w:val="59BFF66B"/>
    <w:rsid w:val="59C305A2"/>
    <w:rsid w:val="59C8ED1E"/>
    <w:rsid w:val="59CF4385"/>
    <w:rsid w:val="59CFE05F"/>
    <w:rsid w:val="59D4AA26"/>
    <w:rsid w:val="59D9172F"/>
    <w:rsid w:val="59DA0B02"/>
    <w:rsid w:val="59DC117E"/>
    <w:rsid w:val="59E065EE"/>
    <w:rsid w:val="59E2541B"/>
    <w:rsid w:val="59E403C7"/>
    <w:rsid w:val="59E9FBC3"/>
    <w:rsid w:val="59EBAB4F"/>
    <w:rsid w:val="59EBAEE4"/>
    <w:rsid w:val="59ECFF63"/>
    <w:rsid w:val="59EF445A"/>
    <w:rsid w:val="59F578A5"/>
    <w:rsid w:val="59F933F9"/>
    <w:rsid w:val="59F9ADB2"/>
    <w:rsid w:val="5A01B38F"/>
    <w:rsid w:val="5A02419A"/>
    <w:rsid w:val="5A03133F"/>
    <w:rsid w:val="5A036554"/>
    <w:rsid w:val="5A046F8C"/>
    <w:rsid w:val="5A05BA9B"/>
    <w:rsid w:val="5A076B00"/>
    <w:rsid w:val="5A089DD0"/>
    <w:rsid w:val="5A0A7B5C"/>
    <w:rsid w:val="5A102E07"/>
    <w:rsid w:val="5A10BAE7"/>
    <w:rsid w:val="5A14D246"/>
    <w:rsid w:val="5A18E276"/>
    <w:rsid w:val="5A1D10BB"/>
    <w:rsid w:val="5A1DC634"/>
    <w:rsid w:val="5A239419"/>
    <w:rsid w:val="5A276F94"/>
    <w:rsid w:val="5A27DDB7"/>
    <w:rsid w:val="5A2C49FF"/>
    <w:rsid w:val="5A32AD77"/>
    <w:rsid w:val="5A3B8504"/>
    <w:rsid w:val="5A3BE59D"/>
    <w:rsid w:val="5A3CE97A"/>
    <w:rsid w:val="5A40BD56"/>
    <w:rsid w:val="5A419088"/>
    <w:rsid w:val="5A43EF78"/>
    <w:rsid w:val="5A47BA25"/>
    <w:rsid w:val="5A48AA02"/>
    <w:rsid w:val="5A4C2753"/>
    <w:rsid w:val="5A50BBFA"/>
    <w:rsid w:val="5A514A5F"/>
    <w:rsid w:val="5A520454"/>
    <w:rsid w:val="5A52C9F0"/>
    <w:rsid w:val="5A52FA1A"/>
    <w:rsid w:val="5A56FB69"/>
    <w:rsid w:val="5A61FA71"/>
    <w:rsid w:val="5A655F00"/>
    <w:rsid w:val="5A684204"/>
    <w:rsid w:val="5A687752"/>
    <w:rsid w:val="5A6935D0"/>
    <w:rsid w:val="5A6AA072"/>
    <w:rsid w:val="5A6B36AF"/>
    <w:rsid w:val="5A6E2D08"/>
    <w:rsid w:val="5A6EF125"/>
    <w:rsid w:val="5A7170FE"/>
    <w:rsid w:val="5A7F6410"/>
    <w:rsid w:val="5A80AE5C"/>
    <w:rsid w:val="5A89EA66"/>
    <w:rsid w:val="5A91DC2D"/>
    <w:rsid w:val="5A94471E"/>
    <w:rsid w:val="5A95C6FB"/>
    <w:rsid w:val="5A9AC096"/>
    <w:rsid w:val="5A9AF2C0"/>
    <w:rsid w:val="5A9C1F86"/>
    <w:rsid w:val="5AA50F90"/>
    <w:rsid w:val="5AA5723B"/>
    <w:rsid w:val="5AAC4420"/>
    <w:rsid w:val="5AAD9220"/>
    <w:rsid w:val="5AB10439"/>
    <w:rsid w:val="5AB1A29E"/>
    <w:rsid w:val="5AB4C235"/>
    <w:rsid w:val="5AB7B5D8"/>
    <w:rsid w:val="5ABCE9DD"/>
    <w:rsid w:val="5ABD78DC"/>
    <w:rsid w:val="5AC0E90D"/>
    <w:rsid w:val="5AC277AE"/>
    <w:rsid w:val="5AC29617"/>
    <w:rsid w:val="5AC3BCA1"/>
    <w:rsid w:val="5ACE927A"/>
    <w:rsid w:val="5AD04B8D"/>
    <w:rsid w:val="5AD1F2F0"/>
    <w:rsid w:val="5AD779EE"/>
    <w:rsid w:val="5ADDAC67"/>
    <w:rsid w:val="5ADF2062"/>
    <w:rsid w:val="5AE18980"/>
    <w:rsid w:val="5AE44360"/>
    <w:rsid w:val="5AE5925F"/>
    <w:rsid w:val="5AE72853"/>
    <w:rsid w:val="5AE83F56"/>
    <w:rsid w:val="5AEE9B8D"/>
    <w:rsid w:val="5AEEAD1C"/>
    <w:rsid w:val="5AF2914D"/>
    <w:rsid w:val="5AF2B493"/>
    <w:rsid w:val="5AF397AF"/>
    <w:rsid w:val="5AFA91EA"/>
    <w:rsid w:val="5B00B274"/>
    <w:rsid w:val="5B04163C"/>
    <w:rsid w:val="5B060122"/>
    <w:rsid w:val="5B0AD2B7"/>
    <w:rsid w:val="5B10403A"/>
    <w:rsid w:val="5B13EEAF"/>
    <w:rsid w:val="5B191B9F"/>
    <w:rsid w:val="5B1926DE"/>
    <w:rsid w:val="5B1FD09E"/>
    <w:rsid w:val="5B28513A"/>
    <w:rsid w:val="5B2E5164"/>
    <w:rsid w:val="5B2FFBB9"/>
    <w:rsid w:val="5B31AA92"/>
    <w:rsid w:val="5B344C31"/>
    <w:rsid w:val="5B377E85"/>
    <w:rsid w:val="5B394685"/>
    <w:rsid w:val="5B39A3FB"/>
    <w:rsid w:val="5B3AF67B"/>
    <w:rsid w:val="5B3B2145"/>
    <w:rsid w:val="5B3D4D82"/>
    <w:rsid w:val="5B3EB295"/>
    <w:rsid w:val="5B453B08"/>
    <w:rsid w:val="5B50813C"/>
    <w:rsid w:val="5B514D79"/>
    <w:rsid w:val="5B52EA3D"/>
    <w:rsid w:val="5B58826E"/>
    <w:rsid w:val="5B59F27F"/>
    <w:rsid w:val="5B6571E2"/>
    <w:rsid w:val="5B6A3317"/>
    <w:rsid w:val="5B6B489E"/>
    <w:rsid w:val="5B6F6254"/>
    <w:rsid w:val="5B72AE23"/>
    <w:rsid w:val="5B736255"/>
    <w:rsid w:val="5B753556"/>
    <w:rsid w:val="5B753B28"/>
    <w:rsid w:val="5B7F3356"/>
    <w:rsid w:val="5B7FF468"/>
    <w:rsid w:val="5B8097F6"/>
    <w:rsid w:val="5B817BBB"/>
    <w:rsid w:val="5B870E91"/>
    <w:rsid w:val="5B87ECAA"/>
    <w:rsid w:val="5B901989"/>
    <w:rsid w:val="5B9269AD"/>
    <w:rsid w:val="5B93BF15"/>
    <w:rsid w:val="5B9BBFC6"/>
    <w:rsid w:val="5B9EF3F4"/>
    <w:rsid w:val="5BA09EB2"/>
    <w:rsid w:val="5BA4EF43"/>
    <w:rsid w:val="5BA93CDC"/>
    <w:rsid w:val="5BAAFDB9"/>
    <w:rsid w:val="5BB6968E"/>
    <w:rsid w:val="5BB77B7E"/>
    <w:rsid w:val="5BB9BE07"/>
    <w:rsid w:val="5BCE2BCF"/>
    <w:rsid w:val="5BD0B52A"/>
    <w:rsid w:val="5BD2DCBE"/>
    <w:rsid w:val="5BD97568"/>
    <w:rsid w:val="5BE4CB97"/>
    <w:rsid w:val="5BF18745"/>
    <w:rsid w:val="5BF97903"/>
    <w:rsid w:val="5BFDCAD2"/>
    <w:rsid w:val="5C045BE8"/>
    <w:rsid w:val="5C0CCF98"/>
    <w:rsid w:val="5C0D0444"/>
    <w:rsid w:val="5C0E361C"/>
    <w:rsid w:val="5C0F2D1A"/>
    <w:rsid w:val="5C19CA6B"/>
    <w:rsid w:val="5C1AD62C"/>
    <w:rsid w:val="5C1BB33E"/>
    <w:rsid w:val="5C1C43F8"/>
    <w:rsid w:val="5C208F80"/>
    <w:rsid w:val="5C226E43"/>
    <w:rsid w:val="5C23B8D7"/>
    <w:rsid w:val="5C2576F9"/>
    <w:rsid w:val="5C259072"/>
    <w:rsid w:val="5C270ADA"/>
    <w:rsid w:val="5C2D6351"/>
    <w:rsid w:val="5C2D82F5"/>
    <w:rsid w:val="5C30C651"/>
    <w:rsid w:val="5C33AB34"/>
    <w:rsid w:val="5C35721C"/>
    <w:rsid w:val="5C3C49A4"/>
    <w:rsid w:val="5C3C7AA9"/>
    <w:rsid w:val="5C3E9E08"/>
    <w:rsid w:val="5C3FB9C2"/>
    <w:rsid w:val="5C459667"/>
    <w:rsid w:val="5C470611"/>
    <w:rsid w:val="5C4DECF5"/>
    <w:rsid w:val="5C4F6EBD"/>
    <w:rsid w:val="5C500993"/>
    <w:rsid w:val="5C529659"/>
    <w:rsid w:val="5C54BEB9"/>
    <w:rsid w:val="5C5AFFD4"/>
    <w:rsid w:val="5C5C7581"/>
    <w:rsid w:val="5C62349C"/>
    <w:rsid w:val="5C6A0D0D"/>
    <w:rsid w:val="5C6CA1AE"/>
    <w:rsid w:val="5C6EE909"/>
    <w:rsid w:val="5C6F2CEF"/>
    <w:rsid w:val="5C76B5CB"/>
    <w:rsid w:val="5C76E05C"/>
    <w:rsid w:val="5C7BD13E"/>
    <w:rsid w:val="5C7C191B"/>
    <w:rsid w:val="5C7CB364"/>
    <w:rsid w:val="5C82046D"/>
    <w:rsid w:val="5C820690"/>
    <w:rsid w:val="5C8248DE"/>
    <w:rsid w:val="5C8368F2"/>
    <w:rsid w:val="5C852166"/>
    <w:rsid w:val="5C87C91C"/>
    <w:rsid w:val="5C882CF6"/>
    <w:rsid w:val="5C883951"/>
    <w:rsid w:val="5C896DB6"/>
    <w:rsid w:val="5C8D06CA"/>
    <w:rsid w:val="5C90A9C4"/>
    <w:rsid w:val="5C987FFC"/>
    <w:rsid w:val="5C9A1139"/>
    <w:rsid w:val="5C9BA379"/>
    <w:rsid w:val="5CA8656C"/>
    <w:rsid w:val="5CAA129D"/>
    <w:rsid w:val="5CAC1C69"/>
    <w:rsid w:val="5CAF6DE3"/>
    <w:rsid w:val="5CB1125A"/>
    <w:rsid w:val="5CB200DE"/>
    <w:rsid w:val="5CB6B5F2"/>
    <w:rsid w:val="5CC11554"/>
    <w:rsid w:val="5CD37ABC"/>
    <w:rsid w:val="5CD60127"/>
    <w:rsid w:val="5CD89752"/>
    <w:rsid w:val="5CDE7D34"/>
    <w:rsid w:val="5CE22327"/>
    <w:rsid w:val="5CE23556"/>
    <w:rsid w:val="5CE3D059"/>
    <w:rsid w:val="5CEA3993"/>
    <w:rsid w:val="5CEB5D53"/>
    <w:rsid w:val="5CF3CC1B"/>
    <w:rsid w:val="5CF3EC45"/>
    <w:rsid w:val="5CF574E0"/>
    <w:rsid w:val="5CFCF34E"/>
    <w:rsid w:val="5CFDD1A2"/>
    <w:rsid w:val="5D001B2A"/>
    <w:rsid w:val="5D0248B9"/>
    <w:rsid w:val="5D03D9EA"/>
    <w:rsid w:val="5D09078E"/>
    <w:rsid w:val="5D0D3118"/>
    <w:rsid w:val="5D0D4D8F"/>
    <w:rsid w:val="5D10216E"/>
    <w:rsid w:val="5D10948A"/>
    <w:rsid w:val="5D14ED43"/>
    <w:rsid w:val="5D1BF221"/>
    <w:rsid w:val="5D1FA211"/>
    <w:rsid w:val="5D2092FF"/>
    <w:rsid w:val="5D22381F"/>
    <w:rsid w:val="5D23AE7C"/>
    <w:rsid w:val="5D283E49"/>
    <w:rsid w:val="5D28A87A"/>
    <w:rsid w:val="5D2A5AC3"/>
    <w:rsid w:val="5D2C2FC2"/>
    <w:rsid w:val="5D2F8F76"/>
    <w:rsid w:val="5D2FB614"/>
    <w:rsid w:val="5D32768E"/>
    <w:rsid w:val="5D3318FF"/>
    <w:rsid w:val="5D34FD0E"/>
    <w:rsid w:val="5D362AA6"/>
    <w:rsid w:val="5D374B82"/>
    <w:rsid w:val="5D3E6B78"/>
    <w:rsid w:val="5D4100EB"/>
    <w:rsid w:val="5D42BC87"/>
    <w:rsid w:val="5D4474E0"/>
    <w:rsid w:val="5D45D2EE"/>
    <w:rsid w:val="5D4FBC4F"/>
    <w:rsid w:val="5D52839E"/>
    <w:rsid w:val="5D545D00"/>
    <w:rsid w:val="5D54B17D"/>
    <w:rsid w:val="5D5551E7"/>
    <w:rsid w:val="5D5CF276"/>
    <w:rsid w:val="5D5D7852"/>
    <w:rsid w:val="5D60A036"/>
    <w:rsid w:val="5D670605"/>
    <w:rsid w:val="5D684DB7"/>
    <w:rsid w:val="5D6A1348"/>
    <w:rsid w:val="5D6AF9F0"/>
    <w:rsid w:val="5D6B0EDA"/>
    <w:rsid w:val="5D6E39A5"/>
    <w:rsid w:val="5D6FB68E"/>
    <w:rsid w:val="5D73531F"/>
    <w:rsid w:val="5D739F06"/>
    <w:rsid w:val="5D752BC8"/>
    <w:rsid w:val="5D77E602"/>
    <w:rsid w:val="5D7C14B0"/>
    <w:rsid w:val="5D82062A"/>
    <w:rsid w:val="5D850AED"/>
    <w:rsid w:val="5D88CE4F"/>
    <w:rsid w:val="5D893BFB"/>
    <w:rsid w:val="5D8DD4FA"/>
    <w:rsid w:val="5D90CEAA"/>
    <w:rsid w:val="5D92BCCB"/>
    <w:rsid w:val="5D934B8C"/>
    <w:rsid w:val="5D97AD28"/>
    <w:rsid w:val="5D9C23AC"/>
    <w:rsid w:val="5D9C82C1"/>
    <w:rsid w:val="5DA19073"/>
    <w:rsid w:val="5DB1B088"/>
    <w:rsid w:val="5DB1BD4C"/>
    <w:rsid w:val="5DB41659"/>
    <w:rsid w:val="5DB5B3AB"/>
    <w:rsid w:val="5DB72175"/>
    <w:rsid w:val="5DB7E6A9"/>
    <w:rsid w:val="5DB8E5A7"/>
    <w:rsid w:val="5DBFAEBA"/>
    <w:rsid w:val="5DC07F34"/>
    <w:rsid w:val="5DC1A2C2"/>
    <w:rsid w:val="5DC552BD"/>
    <w:rsid w:val="5DCD5822"/>
    <w:rsid w:val="5DD71129"/>
    <w:rsid w:val="5DDB4657"/>
    <w:rsid w:val="5DDC9591"/>
    <w:rsid w:val="5DE195A6"/>
    <w:rsid w:val="5DE2D672"/>
    <w:rsid w:val="5DE2EBAA"/>
    <w:rsid w:val="5DE49022"/>
    <w:rsid w:val="5DE8F5D7"/>
    <w:rsid w:val="5DED78AF"/>
    <w:rsid w:val="5DEEFFFE"/>
    <w:rsid w:val="5DF7CCC2"/>
    <w:rsid w:val="5DFB35F1"/>
    <w:rsid w:val="5DFE5993"/>
    <w:rsid w:val="5E031C10"/>
    <w:rsid w:val="5E04AC71"/>
    <w:rsid w:val="5E052C71"/>
    <w:rsid w:val="5E070A20"/>
    <w:rsid w:val="5E08B0E5"/>
    <w:rsid w:val="5E08DC3D"/>
    <w:rsid w:val="5E0AADF9"/>
    <w:rsid w:val="5E0B2092"/>
    <w:rsid w:val="5E0BC9A3"/>
    <w:rsid w:val="5E0C0601"/>
    <w:rsid w:val="5E142543"/>
    <w:rsid w:val="5E192A42"/>
    <w:rsid w:val="5E1FA49E"/>
    <w:rsid w:val="5E22A337"/>
    <w:rsid w:val="5E29700C"/>
    <w:rsid w:val="5E2BE254"/>
    <w:rsid w:val="5E2D8445"/>
    <w:rsid w:val="5E302FAE"/>
    <w:rsid w:val="5E338B56"/>
    <w:rsid w:val="5E357D18"/>
    <w:rsid w:val="5E359E7C"/>
    <w:rsid w:val="5E3A444B"/>
    <w:rsid w:val="5E3A8AD4"/>
    <w:rsid w:val="5E3AE371"/>
    <w:rsid w:val="5E3B490F"/>
    <w:rsid w:val="5E3B5F47"/>
    <w:rsid w:val="5E3C300B"/>
    <w:rsid w:val="5E3F6D0A"/>
    <w:rsid w:val="5E40C617"/>
    <w:rsid w:val="5E40DA57"/>
    <w:rsid w:val="5E41453D"/>
    <w:rsid w:val="5E4381B9"/>
    <w:rsid w:val="5E4ECB08"/>
    <w:rsid w:val="5E4ED95A"/>
    <w:rsid w:val="5E57CBDD"/>
    <w:rsid w:val="5E5D3A83"/>
    <w:rsid w:val="5E66F374"/>
    <w:rsid w:val="5E71374E"/>
    <w:rsid w:val="5E7C0FE3"/>
    <w:rsid w:val="5E7EBCC9"/>
    <w:rsid w:val="5E857F24"/>
    <w:rsid w:val="5E8715FA"/>
    <w:rsid w:val="5E87B127"/>
    <w:rsid w:val="5E88DE1B"/>
    <w:rsid w:val="5E88EFEB"/>
    <w:rsid w:val="5E8A4751"/>
    <w:rsid w:val="5E8C01D0"/>
    <w:rsid w:val="5E8E11F7"/>
    <w:rsid w:val="5E919CA2"/>
    <w:rsid w:val="5E92D166"/>
    <w:rsid w:val="5E976D56"/>
    <w:rsid w:val="5E98D1E3"/>
    <w:rsid w:val="5E9D33B5"/>
    <w:rsid w:val="5EA28EE1"/>
    <w:rsid w:val="5EA4FF7C"/>
    <w:rsid w:val="5EA62B89"/>
    <w:rsid w:val="5EA79587"/>
    <w:rsid w:val="5EA8874D"/>
    <w:rsid w:val="5EB0B6B7"/>
    <w:rsid w:val="5EB4EFEF"/>
    <w:rsid w:val="5EB830EB"/>
    <w:rsid w:val="5EC34691"/>
    <w:rsid w:val="5ECA8771"/>
    <w:rsid w:val="5ECAFCBA"/>
    <w:rsid w:val="5ECC64B9"/>
    <w:rsid w:val="5ECD8A7B"/>
    <w:rsid w:val="5ECFDC9C"/>
    <w:rsid w:val="5ED19667"/>
    <w:rsid w:val="5ED2424A"/>
    <w:rsid w:val="5ED69D15"/>
    <w:rsid w:val="5EDA84BC"/>
    <w:rsid w:val="5EDADC8F"/>
    <w:rsid w:val="5EDF0D01"/>
    <w:rsid w:val="5EDF4006"/>
    <w:rsid w:val="5EDF64F6"/>
    <w:rsid w:val="5EE0DD9E"/>
    <w:rsid w:val="5EE31C82"/>
    <w:rsid w:val="5EE35277"/>
    <w:rsid w:val="5EEDD8B1"/>
    <w:rsid w:val="5EF081DE"/>
    <w:rsid w:val="5EF468CF"/>
    <w:rsid w:val="5EF6AA66"/>
    <w:rsid w:val="5EFA91D3"/>
    <w:rsid w:val="5EFD9FBF"/>
    <w:rsid w:val="5EFEFD74"/>
    <w:rsid w:val="5F094B64"/>
    <w:rsid w:val="5F0A30EA"/>
    <w:rsid w:val="5F0EBA58"/>
    <w:rsid w:val="5F1170B9"/>
    <w:rsid w:val="5F14A7C5"/>
    <w:rsid w:val="5F17F168"/>
    <w:rsid w:val="5F1AE5E5"/>
    <w:rsid w:val="5F1E84FA"/>
    <w:rsid w:val="5F233BDB"/>
    <w:rsid w:val="5F258BA3"/>
    <w:rsid w:val="5F26DC85"/>
    <w:rsid w:val="5F2A1A72"/>
    <w:rsid w:val="5F2B9B96"/>
    <w:rsid w:val="5F2FA8CD"/>
    <w:rsid w:val="5F356B94"/>
    <w:rsid w:val="5F366DCD"/>
    <w:rsid w:val="5F36AF67"/>
    <w:rsid w:val="5F3EF99D"/>
    <w:rsid w:val="5F3F247F"/>
    <w:rsid w:val="5F3F2A95"/>
    <w:rsid w:val="5F40F5CD"/>
    <w:rsid w:val="5F4486EF"/>
    <w:rsid w:val="5F44D32A"/>
    <w:rsid w:val="5F47BC99"/>
    <w:rsid w:val="5F488900"/>
    <w:rsid w:val="5F48D9DA"/>
    <w:rsid w:val="5F4B34C1"/>
    <w:rsid w:val="5F4BAB02"/>
    <w:rsid w:val="5F55E5F3"/>
    <w:rsid w:val="5F55FF8E"/>
    <w:rsid w:val="5F577660"/>
    <w:rsid w:val="5F5DD7AA"/>
    <w:rsid w:val="5F5EC263"/>
    <w:rsid w:val="5F71FEDC"/>
    <w:rsid w:val="5F737CC0"/>
    <w:rsid w:val="5F741C07"/>
    <w:rsid w:val="5F7749D6"/>
    <w:rsid w:val="5F77927C"/>
    <w:rsid w:val="5F798896"/>
    <w:rsid w:val="5F7CDF47"/>
    <w:rsid w:val="5F821A32"/>
    <w:rsid w:val="5F82B535"/>
    <w:rsid w:val="5F871B93"/>
    <w:rsid w:val="5F8A5A35"/>
    <w:rsid w:val="5F8AD05F"/>
    <w:rsid w:val="5F8C09E7"/>
    <w:rsid w:val="5F8D0A7E"/>
    <w:rsid w:val="5F95E7A8"/>
    <w:rsid w:val="5F95EC2D"/>
    <w:rsid w:val="5F97FF1C"/>
    <w:rsid w:val="5F99EFE1"/>
    <w:rsid w:val="5F9AD00D"/>
    <w:rsid w:val="5FA248EB"/>
    <w:rsid w:val="5FA91E9F"/>
    <w:rsid w:val="5FA9803C"/>
    <w:rsid w:val="5FB48A0A"/>
    <w:rsid w:val="5FB50E3D"/>
    <w:rsid w:val="5FB517F5"/>
    <w:rsid w:val="5FB60F77"/>
    <w:rsid w:val="5FC35E59"/>
    <w:rsid w:val="5FC7AF5C"/>
    <w:rsid w:val="5FC94A03"/>
    <w:rsid w:val="5FCBB9C5"/>
    <w:rsid w:val="5FCD251E"/>
    <w:rsid w:val="5FD0FCDC"/>
    <w:rsid w:val="5FD1BA25"/>
    <w:rsid w:val="5FD34112"/>
    <w:rsid w:val="5FD42874"/>
    <w:rsid w:val="5FD809E9"/>
    <w:rsid w:val="5FD9A3F0"/>
    <w:rsid w:val="5FDA469C"/>
    <w:rsid w:val="5FDF9A45"/>
    <w:rsid w:val="5FE15129"/>
    <w:rsid w:val="5FE6046F"/>
    <w:rsid w:val="5FEBEB71"/>
    <w:rsid w:val="5FF3EB40"/>
    <w:rsid w:val="5FF4A115"/>
    <w:rsid w:val="5FF864CA"/>
    <w:rsid w:val="5FF8F224"/>
    <w:rsid w:val="6001D204"/>
    <w:rsid w:val="6003BAEC"/>
    <w:rsid w:val="6003F419"/>
    <w:rsid w:val="600FB37F"/>
    <w:rsid w:val="6011D468"/>
    <w:rsid w:val="60160428"/>
    <w:rsid w:val="601A7E49"/>
    <w:rsid w:val="601D8276"/>
    <w:rsid w:val="601E005E"/>
    <w:rsid w:val="601E8B79"/>
    <w:rsid w:val="60261DC7"/>
    <w:rsid w:val="602ABB75"/>
    <w:rsid w:val="602BCE1D"/>
    <w:rsid w:val="6039D610"/>
    <w:rsid w:val="603BA625"/>
    <w:rsid w:val="603FB40C"/>
    <w:rsid w:val="6040F146"/>
    <w:rsid w:val="6042BCEE"/>
    <w:rsid w:val="60433F6D"/>
    <w:rsid w:val="6047DB95"/>
    <w:rsid w:val="604B337D"/>
    <w:rsid w:val="604C8147"/>
    <w:rsid w:val="604D91E7"/>
    <w:rsid w:val="605612F7"/>
    <w:rsid w:val="60566943"/>
    <w:rsid w:val="605D0211"/>
    <w:rsid w:val="605D3A6F"/>
    <w:rsid w:val="605D4179"/>
    <w:rsid w:val="605F2149"/>
    <w:rsid w:val="6064BA31"/>
    <w:rsid w:val="6066AB7E"/>
    <w:rsid w:val="60673038"/>
    <w:rsid w:val="606B0AB2"/>
    <w:rsid w:val="606BE095"/>
    <w:rsid w:val="606C8428"/>
    <w:rsid w:val="606D5383"/>
    <w:rsid w:val="60716A4D"/>
    <w:rsid w:val="6072344E"/>
    <w:rsid w:val="60728DB3"/>
    <w:rsid w:val="60729AB2"/>
    <w:rsid w:val="607AB86B"/>
    <w:rsid w:val="607F6F8B"/>
    <w:rsid w:val="6082C58E"/>
    <w:rsid w:val="6084078B"/>
    <w:rsid w:val="6088135D"/>
    <w:rsid w:val="608E7187"/>
    <w:rsid w:val="609579D3"/>
    <w:rsid w:val="609A16E2"/>
    <w:rsid w:val="609BC226"/>
    <w:rsid w:val="609F1A4C"/>
    <w:rsid w:val="60A05AC6"/>
    <w:rsid w:val="60A15ECC"/>
    <w:rsid w:val="60A32BE6"/>
    <w:rsid w:val="60A4158F"/>
    <w:rsid w:val="60A6E365"/>
    <w:rsid w:val="60A87750"/>
    <w:rsid w:val="60A906CD"/>
    <w:rsid w:val="60AF36C1"/>
    <w:rsid w:val="60B02851"/>
    <w:rsid w:val="60B6BDAC"/>
    <w:rsid w:val="60B92208"/>
    <w:rsid w:val="60C1A3F3"/>
    <w:rsid w:val="60C5612C"/>
    <w:rsid w:val="60C898BF"/>
    <w:rsid w:val="60CC5C96"/>
    <w:rsid w:val="60D035AB"/>
    <w:rsid w:val="60D1FC13"/>
    <w:rsid w:val="60D24B88"/>
    <w:rsid w:val="60D3DE4B"/>
    <w:rsid w:val="60D58A7D"/>
    <w:rsid w:val="60D6566B"/>
    <w:rsid w:val="60DBBF68"/>
    <w:rsid w:val="60DC2861"/>
    <w:rsid w:val="60DF39E1"/>
    <w:rsid w:val="60E07D42"/>
    <w:rsid w:val="60E15799"/>
    <w:rsid w:val="60E38B8B"/>
    <w:rsid w:val="60E5F4F8"/>
    <w:rsid w:val="60E90CEF"/>
    <w:rsid w:val="60EB0D76"/>
    <w:rsid w:val="60EF109B"/>
    <w:rsid w:val="60EFF74C"/>
    <w:rsid w:val="60F1B654"/>
    <w:rsid w:val="60F346C1"/>
    <w:rsid w:val="60F4AE1F"/>
    <w:rsid w:val="60F5A6DA"/>
    <w:rsid w:val="60F5A96C"/>
    <w:rsid w:val="60FDA096"/>
    <w:rsid w:val="60FE1F2D"/>
    <w:rsid w:val="610508C3"/>
    <w:rsid w:val="610E81BC"/>
    <w:rsid w:val="610F01FA"/>
    <w:rsid w:val="611118C5"/>
    <w:rsid w:val="611A5729"/>
    <w:rsid w:val="611D3B36"/>
    <w:rsid w:val="611E76F9"/>
    <w:rsid w:val="611F75E2"/>
    <w:rsid w:val="611FC884"/>
    <w:rsid w:val="6126C265"/>
    <w:rsid w:val="61273E24"/>
    <w:rsid w:val="612A0CCD"/>
    <w:rsid w:val="613210A4"/>
    <w:rsid w:val="61339CDD"/>
    <w:rsid w:val="61384672"/>
    <w:rsid w:val="61385831"/>
    <w:rsid w:val="613A30E1"/>
    <w:rsid w:val="613B8FF5"/>
    <w:rsid w:val="613C16BD"/>
    <w:rsid w:val="613C8CDE"/>
    <w:rsid w:val="61444EAF"/>
    <w:rsid w:val="614550F0"/>
    <w:rsid w:val="614836A0"/>
    <w:rsid w:val="614C247D"/>
    <w:rsid w:val="614E8109"/>
    <w:rsid w:val="615222D0"/>
    <w:rsid w:val="615288F4"/>
    <w:rsid w:val="6156A0C9"/>
    <w:rsid w:val="6159BC28"/>
    <w:rsid w:val="615A7A5B"/>
    <w:rsid w:val="6162ACE7"/>
    <w:rsid w:val="6162FE47"/>
    <w:rsid w:val="6165F3C8"/>
    <w:rsid w:val="61684B40"/>
    <w:rsid w:val="6169ABFD"/>
    <w:rsid w:val="616DED16"/>
    <w:rsid w:val="616EBA28"/>
    <w:rsid w:val="616F14A8"/>
    <w:rsid w:val="616F1D9F"/>
    <w:rsid w:val="616FD667"/>
    <w:rsid w:val="6171D565"/>
    <w:rsid w:val="6176EC05"/>
    <w:rsid w:val="617719A5"/>
    <w:rsid w:val="617AA909"/>
    <w:rsid w:val="617FFDCE"/>
    <w:rsid w:val="6180FC08"/>
    <w:rsid w:val="61831024"/>
    <w:rsid w:val="6184EF43"/>
    <w:rsid w:val="619157B4"/>
    <w:rsid w:val="6193FB8B"/>
    <w:rsid w:val="6196B744"/>
    <w:rsid w:val="61977F7B"/>
    <w:rsid w:val="619A6D49"/>
    <w:rsid w:val="619B411D"/>
    <w:rsid w:val="619CA5EA"/>
    <w:rsid w:val="61A09908"/>
    <w:rsid w:val="61A16154"/>
    <w:rsid w:val="61A22713"/>
    <w:rsid w:val="61A643EA"/>
    <w:rsid w:val="61A7BF1B"/>
    <w:rsid w:val="61A7F5C6"/>
    <w:rsid w:val="61A857B2"/>
    <w:rsid w:val="61ADEF53"/>
    <w:rsid w:val="61AE2F82"/>
    <w:rsid w:val="61B166D1"/>
    <w:rsid w:val="61B561B5"/>
    <w:rsid w:val="61B5A608"/>
    <w:rsid w:val="61B5CADB"/>
    <w:rsid w:val="61B8474F"/>
    <w:rsid w:val="61BAF823"/>
    <w:rsid w:val="61C51F42"/>
    <w:rsid w:val="61C65B6E"/>
    <w:rsid w:val="61C680B1"/>
    <w:rsid w:val="61C9315C"/>
    <w:rsid w:val="61CB2FB7"/>
    <w:rsid w:val="61CE68C2"/>
    <w:rsid w:val="61D013D1"/>
    <w:rsid w:val="61D0E5AA"/>
    <w:rsid w:val="61D127ED"/>
    <w:rsid w:val="61D484C0"/>
    <w:rsid w:val="61D5E083"/>
    <w:rsid w:val="61D979AF"/>
    <w:rsid w:val="61DA31AB"/>
    <w:rsid w:val="61DD6534"/>
    <w:rsid w:val="61DF7E08"/>
    <w:rsid w:val="61E0A81F"/>
    <w:rsid w:val="61E2CBB0"/>
    <w:rsid w:val="61EB4982"/>
    <w:rsid w:val="61EC9A5B"/>
    <w:rsid w:val="61F49FFB"/>
    <w:rsid w:val="61F4C8CF"/>
    <w:rsid w:val="61F7E5EB"/>
    <w:rsid w:val="6200DD78"/>
    <w:rsid w:val="62026342"/>
    <w:rsid w:val="62030099"/>
    <w:rsid w:val="6206B36C"/>
    <w:rsid w:val="62077C36"/>
    <w:rsid w:val="620F0EF3"/>
    <w:rsid w:val="620F96D6"/>
    <w:rsid w:val="621BD81D"/>
    <w:rsid w:val="621C174A"/>
    <w:rsid w:val="621DEAD4"/>
    <w:rsid w:val="6222204D"/>
    <w:rsid w:val="6225D7FC"/>
    <w:rsid w:val="62271F57"/>
    <w:rsid w:val="6227F904"/>
    <w:rsid w:val="622A7A92"/>
    <w:rsid w:val="62308517"/>
    <w:rsid w:val="62312D33"/>
    <w:rsid w:val="62331AAE"/>
    <w:rsid w:val="62337F7C"/>
    <w:rsid w:val="623415AF"/>
    <w:rsid w:val="62383F1D"/>
    <w:rsid w:val="623AF77B"/>
    <w:rsid w:val="623D7497"/>
    <w:rsid w:val="623EB955"/>
    <w:rsid w:val="62406308"/>
    <w:rsid w:val="62457F4B"/>
    <w:rsid w:val="624BF4CA"/>
    <w:rsid w:val="624D76F8"/>
    <w:rsid w:val="6254CCE0"/>
    <w:rsid w:val="62559896"/>
    <w:rsid w:val="6256175E"/>
    <w:rsid w:val="625779E2"/>
    <w:rsid w:val="6257DED4"/>
    <w:rsid w:val="625E3BF9"/>
    <w:rsid w:val="625E5062"/>
    <w:rsid w:val="6262DBCC"/>
    <w:rsid w:val="6266BA4D"/>
    <w:rsid w:val="62681408"/>
    <w:rsid w:val="626858CC"/>
    <w:rsid w:val="626AD2EF"/>
    <w:rsid w:val="626E8347"/>
    <w:rsid w:val="626F5C9A"/>
    <w:rsid w:val="627250F3"/>
    <w:rsid w:val="62727F99"/>
    <w:rsid w:val="62745AE5"/>
    <w:rsid w:val="6275F63D"/>
    <w:rsid w:val="627869DE"/>
    <w:rsid w:val="6279E151"/>
    <w:rsid w:val="627A0AD4"/>
    <w:rsid w:val="627B65E8"/>
    <w:rsid w:val="62804F60"/>
    <w:rsid w:val="6284AE91"/>
    <w:rsid w:val="6284F9DE"/>
    <w:rsid w:val="628BA7F6"/>
    <w:rsid w:val="628F6017"/>
    <w:rsid w:val="629007E4"/>
    <w:rsid w:val="62912590"/>
    <w:rsid w:val="62940587"/>
    <w:rsid w:val="6294E291"/>
    <w:rsid w:val="629953DF"/>
    <w:rsid w:val="62997FC5"/>
    <w:rsid w:val="629A9E6E"/>
    <w:rsid w:val="629B1875"/>
    <w:rsid w:val="62A1191D"/>
    <w:rsid w:val="62A77B0A"/>
    <w:rsid w:val="62A9B815"/>
    <w:rsid w:val="62AC24B1"/>
    <w:rsid w:val="62B2ADCA"/>
    <w:rsid w:val="62B5D581"/>
    <w:rsid w:val="62BA37C0"/>
    <w:rsid w:val="62BD2F4B"/>
    <w:rsid w:val="62C1D465"/>
    <w:rsid w:val="62C2FFB5"/>
    <w:rsid w:val="62C32D59"/>
    <w:rsid w:val="62C583FF"/>
    <w:rsid w:val="62C86670"/>
    <w:rsid w:val="62C98CAA"/>
    <w:rsid w:val="62CD8993"/>
    <w:rsid w:val="62CF065B"/>
    <w:rsid w:val="62CFF07B"/>
    <w:rsid w:val="62D81D94"/>
    <w:rsid w:val="62E01690"/>
    <w:rsid w:val="62E08396"/>
    <w:rsid w:val="62E2DBB7"/>
    <w:rsid w:val="62E875F2"/>
    <w:rsid w:val="62ED674A"/>
    <w:rsid w:val="62F101D8"/>
    <w:rsid w:val="63002BC4"/>
    <w:rsid w:val="63041114"/>
    <w:rsid w:val="630586FB"/>
    <w:rsid w:val="6307F6C0"/>
    <w:rsid w:val="630C852A"/>
    <w:rsid w:val="6317C8FE"/>
    <w:rsid w:val="631A1EA5"/>
    <w:rsid w:val="631A8D07"/>
    <w:rsid w:val="631ED388"/>
    <w:rsid w:val="631F877C"/>
    <w:rsid w:val="632375A1"/>
    <w:rsid w:val="6324684A"/>
    <w:rsid w:val="6329E3B0"/>
    <w:rsid w:val="6329EF38"/>
    <w:rsid w:val="632E1785"/>
    <w:rsid w:val="6330AC9B"/>
    <w:rsid w:val="63358783"/>
    <w:rsid w:val="63369704"/>
    <w:rsid w:val="63377A88"/>
    <w:rsid w:val="63399F29"/>
    <w:rsid w:val="6340B507"/>
    <w:rsid w:val="63480AA9"/>
    <w:rsid w:val="63493282"/>
    <w:rsid w:val="634986E9"/>
    <w:rsid w:val="634A9FAE"/>
    <w:rsid w:val="634E1003"/>
    <w:rsid w:val="63523A29"/>
    <w:rsid w:val="635389CA"/>
    <w:rsid w:val="6355C808"/>
    <w:rsid w:val="6357D6F8"/>
    <w:rsid w:val="635AA8D4"/>
    <w:rsid w:val="635BBB78"/>
    <w:rsid w:val="635F6DB0"/>
    <w:rsid w:val="63677BE0"/>
    <w:rsid w:val="636802B5"/>
    <w:rsid w:val="63697637"/>
    <w:rsid w:val="636AA626"/>
    <w:rsid w:val="636BAF60"/>
    <w:rsid w:val="6371F8B3"/>
    <w:rsid w:val="637AAEC2"/>
    <w:rsid w:val="637B3A5F"/>
    <w:rsid w:val="637EC9DA"/>
    <w:rsid w:val="638A724D"/>
    <w:rsid w:val="638E305A"/>
    <w:rsid w:val="638FF96B"/>
    <w:rsid w:val="63906976"/>
    <w:rsid w:val="639A22C7"/>
    <w:rsid w:val="639CF2A8"/>
    <w:rsid w:val="639DAF07"/>
    <w:rsid w:val="63A0B265"/>
    <w:rsid w:val="63AA2E75"/>
    <w:rsid w:val="63ACDA09"/>
    <w:rsid w:val="63AD9D28"/>
    <w:rsid w:val="63ADE6A0"/>
    <w:rsid w:val="63B49A0B"/>
    <w:rsid w:val="63B7104D"/>
    <w:rsid w:val="63B7EA4B"/>
    <w:rsid w:val="63B8CC5C"/>
    <w:rsid w:val="63B9DEF6"/>
    <w:rsid w:val="63BA5B7B"/>
    <w:rsid w:val="63C3C965"/>
    <w:rsid w:val="63C55CCF"/>
    <w:rsid w:val="63CB5755"/>
    <w:rsid w:val="63CDA791"/>
    <w:rsid w:val="63DACCA8"/>
    <w:rsid w:val="63DFF658"/>
    <w:rsid w:val="63E0A78F"/>
    <w:rsid w:val="63E2D0DA"/>
    <w:rsid w:val="63E71038"/>
    <w:rsid w:val="63E7AAC4"/>
    <w:rsid w:val="63EA40EB"/>
    <w:rsid w:val="63F036F8"/>
    <w:rsid w:val="63F44335"/>
    <w:rsid w:val="63F4E861"/>
    <w:rsid w:val="63F6490F"/>
    <w:rsid w:val="63F6E934"/>
    <w:rsid w:val="63FBBCBD"/>
    <w:rsid w:val="63FC3615"/>
    <w:rsid w:val="63FDF423"/>
    <w:rsid w:val="64035A84"/>
    <w:rsid w:val="6408EFBA"/>
    <w:rsid w:val="640BB5A9"/>
    <w:rsid w:val="640EAB0F"/>
    <w:rsid w:val="640EF526"/>
    <w:rsid w:val="64122F0D"/>
    <w:rsid w:val="64134517"/>
    <w:rsid w:val="641505FD"/>
    <w:rsid w:val="641A6C13"/>
    <w:rsid w:val="642587F4"/>
    <w:rsid w:val="6428D93A"/>
    <w:rsid w:val="642F7815"/>
    <w:rsid w:val="6431CA64"/>
    <w:rsid w:val="64366C67"/>
    <w:rsid w:val="64398B86"/>
    <w:rsid w:val="643F97C0"/>
    <w:rsid w:val="644A88FB"/>
    <w:rsid w:val="644B7DE3"/>
    <w:rsid w:val="644F2E05"/>
    <w:rsid w:val="6453A84A"/>
    <w:rsid w:val="645722FE"/>
    <w:rsid w:val="6457B8C4"/>
    <w:rsid w:val="645AD696"/>
    <w:rsid w:val="6463B9A3"/>
    <w:rsid w:val="64641969"/>
    <w:rsid w:val="6465E2FB"/>
    <w:rsid w:val="646C3EC5"/>
    <w:rsid w:val="6470791B"/>
    <w:rsid w:val="64712E6E"/>
    <w:rsid w:val="6475209D"/>
    <w:rsid w:val="6477EAF7"/>
    <w:rsid w:val="64780DA7"/>
    <w:rsid w:val="647A0FC1"/>
    <w:rsid w:val="647B4B4F"/>
    <w:rsid w:val="647BE3FB"/>
    <w:rsid w:val="647FD27A"/>
    <w:rsid w:val="6480A85B"/>
    <w:rsid w:val="64832788"/>
    <w:rsid w:val="6486ABEE"/>
    <w:rsid w:val="6487FB2D"/>
    <w:rsid w:val="648A9B98"/>
    <w:rsid w:val="64958EAE"/>
    <w:rsid w:val="64976367"/>
    <w:rsid w:val="649F7132"/>
    <w:rsid w:val="64A020E5"/>
    <w:rsid w:val="64A021EA"/>
    <w:rsid w:val="64A61CB1"/>
    <w:rsid w:val="64A7AD46"/>
    <w:rsid w:val="64AE9EB7"/>
    <w:rsid w:val="64B1731B"/>
    <w:rsid w:val="64B261FA"/>
    <w:rsid w:val="64B5A67C"/>
    <w:rsid w:val="64BAA347"/>
    <w:rsid w:val="64BB5F51"/>
    <w:rsid w:val="64BC6BED"/>
    <w:rsid w:val="64C091A1"/>
    <w:rsid w:val="64C12EF6"/>
    <w:rsid w:val="64C95CCA"/>
    <w:rsid w:val="64CAD8C3"/>
    <w:rsid w:val="64CDA0DF"/>
    <w:rsid w:val="64CDBCB3"/>
    <w:rsid w:val="64D1B3EF"/>
    <w:rsid w:val="64D3D94B"/>
    <w:rsid w:val="64D42B91"/>
    <w:rsid w:val="64D49C5B"/>
    <w:rsid w:val="64DDD2E5"/>
    <w:rsid w:val="64E2169B"/>
    <w:rsid w:val="64EB391B"/>
    <w:rsid w:val="64EB7AB4"/>
    <w:rsid w:val="64F007AC"/>
    <w:rsid w:val="64F03967"/>
    <w:rsid w:val="64F576E1"/>
    <w:rsid w:val="64FA1E25"/>
    <w:rsid w:val="64FC1477"/>
    <w:rsid w:val="64FDA4D6"/>
    <w:rsid w:val="64FF6194"/>
    <w:rsid w:val="650012ED"/>
    <w:rsid w:val="650BE666"/>
    <w:rsid w:val="650BF5C4"/>
    <w:rsid w:val="6510E301"/>
    <w:rsid w:val="6511BEA2"/>
    <w:rsid w:val="6516FE37"/>
    <w:rsid w:val="651A2CDA"/>
    <w:rsid w:val="651EECE2"/>
    <w:rsid w:val="6525D36D"/>
    <w:rsid w:val="6528670E"/>
    <w:rsid w:val="652A6341"/>
    <w:rsid w:val="652BF160"/>
    <w:rsid w:val="65349D12"/>
    <w:rsid w:val="653A0C6B"/>
    <w:rsid w:val="653E5051"/>
    <w:rsid w:val="654078A1"/>
    <w:rsid w:val="654122AC"/>
    <w:rsid w:val="65417258"/>
    <w:rsid w:val="6546ED0F"/>
    <w:rsid w:val="6549C74E"/>
    <w:rsid w:val="654ACE31"/>
    <w:rsid w:val="654B783E"/>
    <w:rsid w:val="654C6033"/>
    <w:rsid w:val="65509F37"/>
    <w:rsid w:val="65549577"/>
    <w:rsid w:val="6556F280"/>
    <w:rsid w:val="65589EC2"/>
    <w:rsid w:val="655DBB02"/>
    <w:rsid w:val="6561EB6F"/>
    <w:rsid w:val="65640ED2"/>
    <w:rsid w:val="656782B4"/>
    <w:rsid w:val="65678D60"/>
    <w:rsid w:val="656B262B"/>
    <w:rsid w:val="656F1175"/>
    <w:rsid w:val="6574769D"/>
    <w:rsid w:val="65777887"/>
    <w:rsid w:val="6579D754"/>
    <w:rsid w:val="657BE845"/>
    <w:rsid w:val="6583176C"/>
    <w:rsid w:val="65847B8D"/>
    <w:rsid w:val="658756C8"/>
    <w:rsid w:val="65878325"/>
    <w:rsid w:val="65901ACB"/>
    <w:rsid w:val="65915C51"/>
    <w:rsid w:val="65960303"/>
    <w:rsid w:val="65962C44"/>
    <w:rsid w:val="65976F8E"/>
    <w:rsid w:val="65989B68"/>
    <w:rsid w:val="6598F760"/>
    <w:rsid w:val="65A71792"/>
    <w:rsid w:val="65A7860A"/>
    <w:rsid w:val="65ABECE7"/>
    <w:rsid w:val="65AD5CC5"/>
    <w:rsid w:val="65AD8CD2"/>
    <w:rsid w:val="65B22544"/>
    <w:rsid w:val="65B2843B"/>
    <w:rsid w:val="65B44A90"/>
    <w:rsid w:val="65B5728E"/>
    <w:rsid w:val="65B91D1F"/>
    <w:rsid w:val="65BBFBC3"/>
    <w:rsid w:val="65BDF346"/>
    <w:rsid w:val="65C124B1"/>
    <w:rsid w:val="65C22D75"/>
    <w:rsid w:val="65C3ACC6"/>
    <w:rsid w:val="65C54FCB"/>
    <w:rsid w:val="65C73768"/>
    <w:rsid w:val="65CE1539"/>
    <w:rsid w:val="65CFFC9B"/>
    <w:rsid w:val="65D59CE2"/>
    <w:rsid w:val="65D72BF8"/>
    <w:rsid w:val="65D7C1DB"/>
    <w:rsid w:val="65E5673F"/>
    <w:rsid w:val="65E75F6C"/>
    <w:rsid w:val="65E9FEC8"/>
    <w:rsid w:val="65EAA2F3"/>
    <w:rsid w:val="65ECB531"/>
    <w:rsid w:val="65ECC176"/>
    <w:rsid w:val="65EDFABF"/>
    <w:rsid w:val="65F60C86"/>
    <w:rsid w:val="65F6F57F"/>
    <w:rsid w:val="65F8E9A9"/>
    <w:rsid w:val="65F91E19"/>
    <w:rsid w:val="65FA17ED"/>
    <w:rsid w:val="65FCAA25"/>
    <w:rsid w:val="65FE1E68"/>
    <w:rsid w:val="65FF81B9"/>
    <w:rsid w:val="6608D298"/>
    <w:rsid w:val="660A9084"/>
    <w:rsid w:val="660BE816"/>
    <w:rsid w:val="660DB461"/>
    <w:rsid w:val="660E2F65"/>
    <w:rsid w:val="6611CA48"/>
    <w:rsid w:val="6612353B"/>
    <w:rsid w:val="6617829A"/>
    <w:rsid w:val="6618C238"/>
    <w:rsid w:val="66196DC9"/>
    <w:rsid w:val="661C3DEC"/>
    <w:rsid w:val="661E41CC"/>
    <w:rsid w:val="6620EBCB"/>
    <w:rsid w:val="6620F27E"/>
    <w:rsid w:val="662697FD"/>
    <w:rsid w:val="6628544A"/>
    <w:rsid w:val="662BBEC4"/>
    <w:rsid w:val="662E594F"/>
    <w:rsid w:val="6635E1A7"/>
    <w:rsid w:val="66396651"/>
    <w:rsid w:val="6641ADE7"/>
    <w:rsid w:val="6643DD0D"/>
    <w:rsid w:val="66478EC2"/>
    <w:rsid w:val="6647E49D"/>
    <w:rsid w:val="66492C4F"/>
    <w:rsid w:val="6652BB74"/>
    <w:rsid w:val="665C7AEB"/>
    <w:rsid w:val="66674675"/>
    <w:rsid w:val="666D6438"/>
    <w:rsid w:val="66723A6F"/>
    <w:rsid w:val="66726494"/>
    <w:rsid w:val="667418F3"/>
    <w:rsid w:val="66802B61"/>
    <w:rsid w:val="6681050F"/>
    <w:rsid w:val="66884A44"/>
    <w:rsid w:val="668A6E21"/>
    <w:rsid w:val="668B3BDB"/>
    <w:rsid w:val="668C93CA"/>
    <w:rsid w:val="66922E1C"/>
    <w:rsid w:val="669360ED"/>
    <w:rsid w:val="6695458A"/>
    <w:rsid w:val="66A18793"/>
    <w:rsid w:val="66A1D6EE"/>
    <w:rsid w:val="66A4223D"/>
    <w:rsid w:val="66ADD9FB"/>
    <w:rsid w:val="66B5B2D7"/>
    <w:rsid w:val="66B77AD4"/>
    <w:rsid w:val="66BA8678"/>
    <w:rsid w:val="66C48005"/>
    <w:rsid w:val="66C5D11C"/>
    <w:rsid w:val="66C63400"/>
    <w:rsid w:val="66C7B35D"/>
    <w:rsid w:val="66C981F3"/>
    <w:rsid w:val="66CE7A87"/>
    <w:rsid w:val="66D22DAD"/>
    <w:rsid w:val="66D3411B"/>
    <w:rsid w:val="66D3A2EB"/>
    <w:rsid w:val="66D3B747"/>
    <w:rsid w:val="66D5862A"/>
    <w:rsid w:val="66D84525"/>
    <w:rsid w:val="66DA20B2"/>
    <w:rsid w:val="66DDD1B7"/>
    <w:rsid w:val="66DF9CA6"/>
    <w:rsid w:val="66E20E88"/>
    <w:rsid w:val="66E4563A"/>
    <w:rsid w:val="66E55172"/>
    <w:rsid w:val="66E73D0F"/>
    <w:rsid w:val="66EDD321"/>
    <w:rsid w:val="66F248DE"/>
    <w:rsid w:val="66F7D53D"/>
    <w:rsid w:val="66F87F59"/>
    <w:rsid w:val="66FA08DF"/>
    <w:rsid w:val="66FFB4EC"/>
    <w:rsid w:val="6702D01A"/>
    <w:rsid w:val="67038149"/>
    <w:rsid w:val="6710E5BA"/>
    <w:rsid w:val="6712B4AC"/>
    <w:rsid w:val="67182EC8"/>
    <w:rsid w:val="67223EC9"/>
    <w:rsid w:val="6724BAD7"/>
    <w:rsid w:val="672D04D2"/>
    <w:rsid w:val="672D5BCB"/>
    <w:rsid w:val="67352C57"/>
    <w:rsid w:val="673F6757"/>
    <w:rsid w:val="6740AC99"/>
    <w:rsid w:val="67478237"/>
    <w:rsid w:val="6747A5CA"/>
    <w:rsid w:val="6749987D"/>
    <w:rsid w:val="674AD4CD"/>
    <w:rsid w:val="67549C02"/>
    <w:rsid w:val="6755ED15"/>
    <w:rsid w:val="675B93E3"/>
    <w:rsid w:val="675BA25F"/>
    <w:rsid w:val="675DD589"/>
    <w:rsid w:val="675E113E"/>
    <w:rsid w:val="675ED552"/>
    <w:rsid w:val="675F10DA"/>
    <w:rsid w:val="676128EE"/>
    <w:rsid w:val="67644E1B"/>
    <w:rsid w:val="676BEA76"/>
    <w:rsid w:val="676EAABD"/>
    <w:rsid w:val="67714BA4"/>
    <w:rsid w:val="677498ED"/>
    <w:rsid w:val="678621A0"/>
    <w:rsid w:val="6786F6D6"/>
    <w:rsid w:val="678A5267"/>
    <w:rsid w:val="678E4B2E"/>
    <w:rsid w:val="67919379"/>
    <w:rsid w:val="6792A434"/>
    <w:rsid w:val="679626A8"/>
    <w:rsid w:val="679BF35C"/>
    <w:rsid w:val="679FC851"/>
    <w:rsid w:val="67A4D32A"/>
    <w:rsid w:val="67A565F9"/>
    <w:rsid w:val="67AA25B2"/>
    <w:rsid w:val="67B08748"/>
    <w:rsid w:val="67B25197"/>
    <w:rsid w:val="67B2E1A5"/>
    <w:rsid w:val="67B42C1E"/>
    <w:rsid w:val="67B6BAFA"/>
    <w:rsid w:val="67B95081"/>
    <w:rsid w:val="67BC0DF9"/>
    <w:rsid w:val="67C00838"/>
    <w:rsid w:val="67C1E6C3"/>
    <w:rsid w:val="67C7E7FA"/>
    <w:rsid w:val="67C85C61"/>
    <w:rsid w:val="67CA6FE4"/>
    <w:rsid w:val="67CD3EBD"/>
    <w:rsid w:val="67CE8ADE"/>
    <w:rsid w:val="67D092A6"/>
    <w:rsid w:val="67D55500"/>
    <w:rsid w:val="67D64ED5"/>
    <w:rsid w:val="67DA87C3"/>
    <w:rsid w:val="67DEB83D"/>
    <w:rsid w:val="67E1DF4F"/>
    <w:rsid w:val="67E20E24"/>
    <w:rsid w:val="67E5AC20"/>
    <w:rsid w:val="67E8812A"/>
    <w:rsid w:val="67EB9661"/>
    <w:rsid w:val="67EFC6AA"/>
    <w:rsid w:val="67F84B4C"/>
    <w:rsid w:val="67F881AA"/>
    <w:rsid w:val="6806958D"/>
    <w:rsid w:val="680ABE79"/>
    <w:rsid w:val="680B0770"/>
    <w:rsid w:val="680B909B"/>
    <w:rsid w:val="680C2F58"/>
    <w:rsid w:val="680D1A67"/>
    <w:rsid w:val="6813EF03"/>
    <w:rsid w:val="6817F115"/>
    <w:rsid w:val="681991E4"/>
    <w:rsid w:val="68256358"/>
    <w:rsid w:val="68267C86"/>
    <w:rsid w:val="682CFD1E"/>
    <w:rsid w:val="682E13D9"/>
    <w:rsid w:val="683102E6"/>
    <w:rsid w:val="6837674E"/>
    <w:rsid w:val="683A910D"/>
    <w:rsid w:val="6848B4B9"/>
    <w:rsid w:val="684A30F5"/>
    <w:rsid w:val="684B6EDD"/>
    <w:rsid w:val="684EF13F"/>
    <w:rsid w:val="6851E512"/>
    <w:rsid w:val="6852292A"/>
    <w:rsid w:val="685313C6"/>
    <w:rsid w:val="685DBF1C"/>
    <w:rsid w:val="685FF7F6"/>
    <w:rsid w:val="6861D411"/>
    <w:rsid w:val="6862A6DD"/>
    <w:rsid w:val="6865FCD0"/>
    <w:rsid w:val="68733999"/>
    <w:rsid w:val="68741403"/>
    <w:rsid w:val="68744FF7"/>
    <w:rsid w:val="687709D8"/>
    <w:rsid w:val="687769A6"/>
    <w:rsid w:val="68797153"/>
    <w:rsid w:val="687C1247"/>
    <w:rsid w:val="687DAE18"/>
    <w:rsid w:val="6880647D"/>
    <w:rsid w:val="6886B219"/>
    <w:rsid w:val="6889F558"/>
    <w:rsid w:val="68954371"/>
    <w:rsid w:val="68971CCB"/>
    <w:rsid w:val="68976424"/>
    <w:rsid w:val="689F124B"/>
    <w:rsid w:val="68A535BB"/>
    <w:rsid w:val="68AD84F6"/>
    <w:rsid w:val="68AFF1F0"/>
    <w:rsid w:val="68B0A33A"/>
    <w:rsid w:val="68B24951"/>
    <w:rsid w:val="68B581E4"/>
    <w:rsid w:val="68B70011"/>
    <w:rsid w:val="68B7F837"/>
    <w:rsid w:val="68B81DF2"/>
    <w:rsid w:val="68BBF6C3"/>
    <w:rsid w:val="68BFD45C"/>
    <w:rsid w:val="68CABF4C"/>
    <w:rsid w:val="68CB01E9"/>
    <w:rsid w:val="68CCAE7D"/>
    <w:rsid w:val="68D18BD7"/>
    <w:rsid w:val="68D21338"/>
    <w:rsid w:val="68D374CA"/>
    <w:rsid w:val="68D6D7C9"/>
    <w:rsid w:val="68DF7C88"/>
    <w:rsid w:val="68E39FDC"/>
    <w:rsid w:val="68EB3F86"/>
    <w:rsid w:val="68F0204D"/>
    <w:rsid w:val="68F2811B"/>
    <w:rsid w:val="68F64999"/>
    <w:rsid w:val="68F6D9E1"/>
    <w:rsid w:val="68F93C97"/>
    <w:rsid w:val="68F950CC"/>
    <w:rsid w:val="68FB86A4"/>
    <w:rsid w:val="68FC06AC"/>
    <w:rsid w:val="68FDE61A"/>
    <w:rsid w:val="68FE58A6"/>
    <w:rsid w:val="6904DDF4"/>
    <w:rsid w:val="6914ECF7"/>
    <w:rsid w:val="6915D6AC"/>
    <w:rsid w:val="6917FC71"/>
    <w:rsid w:val="6919F4EC"/>
    <w:rsid w:val="691B1BD3"/>
    <w:rsid w:val="691CF388"/>
    <w:rsid w:val="6926D007"/>
    <w:rsid w:val="692AB75B"/>
    <w:rsid w:val="692AEF97"/>
    <w:rsid w:val="692D218F"/>
    <w:rsid w:val="69316304"/>
    <w:rsid w:val="69331F7A"/>
    <w:rsid w:val="693602A4"/>
    <w:rsid w:val="693C0344"/>
    <w:rsid w:val="693EEEDC"/>
    <w:rsid w:val="694BECDB"/>
    <w:rsid w:val="694D76EA"/>
    <w:rsid w:val="69510C66"/>
    <w:rsid w:val="6951490C"/>
    <w:rsid w:val="695382DF"/>
    <w:rsid w:val="69556B24"/>
    <w:rsid w:val="69575B13"/>
    <w:rsid w:val="6957B93D"/>
    <w:rsid w:val="69583449"/>
    <w:rsid w:val="69583604"/>
    <w:rsid w:val="695AD6D2"/>
    <w:rsid w:val="695E731B"/>
    <w:rsid w:val="69614294"/>
    <w:rsid w:val="696189FA"/>
    <w:rsid w:val="6963BD54"/>
    <w:rsid w:val="696524DC"/>
    <w:rsid w:val="6965AC04"/>
    <w:rsid w:val="69722684"/>
    <w:rsid w:val="6972DF60"/>
    <w:rsid w:val="69749565"/>
    <w:rsid w:val="69750F4B"/>
    <w:rsid w:val="697A607A"/>
    <w:rsid w:val="697A901C"/>
    <w:rsid w:val="697CD544"/>
    <w:rsid w:val="697E11EE"/>
    <w:rsid w:val="697ECAF3"/>
    <w:rsid w:val="6980F172"/>
    <w:rsid w:val="69815B2B"/>
    <w:rsid w:val="698990B8"/>
    <w:rsid w:val="69899CFB"/>
    <w:rsid w:val="698A4EC3"/>
    <w:rsid w:val="698B3E0C"/>
    <w:rsid w:val="698BC781"/>
    <w:rsid w:val="698FA4E3"/>
    <w:rsid w:val="69933AB4"/>
    <w:rsid w:val="69968A8C"/>
    <w:rsid w:val="699907AE"/>
    <w:rsid w:val="699ACC98"/>
    <w:rsid w:val="699B10E8"/>
    <w:rsid w:val="699F4965"/>
    <w:rsid w:val="69A27F0B"/>
    <w:rsid w:val="69AC4F22"/>
    <w:rsid w:val="69B27282"/>
    <w:rsid w:val="69B2D667"/>
    <w:rsid w:val="69BAEF4D"/>
    <w:rsid w:val="69BBC965"/>
    <w:rsid w:val="69BCC27A"/>
    <w:rsid w:val="69BF8E71"/>
    <w:rsid w:val="69C02A85"/>
    <w:rsid w:val="69C22CA5"/>
    <w:rsid w:val="69C27EFB"/>
    <w:rsid w:val="69C50618"/>
    <w:rsid w:val="69C58889"/>
    <w:rsid w:val="69C60987"/>
    <w:rsid w:val="69C96272"/>
    <w:rsid w:val="69CAD438"/>
    <w:rsid w:val="69CE5B76"/>
    <w:rsid w:val="69CE82AF"/>
    <w:rsid w:val="69CEFDDB"/>
    <w:rsid w:val="69CF910C"/>
    <w:rsid w:val="69DCBACE"/>
    <w:rsid w:val="69DE38EE"/>
    <w:rsid w:val="69DEF1C0"/>
    <w:rsid w:val="69E5FAAF"/>
    <w:rsid w:val="69FB278D"/>
    <w:rsid w:val="6A00479C"/>
    <w:rsid w:val="6A05D04D"/>
    <w:rsid w:val="6A12A8E1"/>
    <w:rsid w:val="6A134FD2"/>
    <w:rsid w:val="6A164E80"/>
    <w:rsid w:val="6A1A8812"/>
    <w:rsid w:val="6A1B3722"/>
    <w:rsid w:val="6A1C3867"/>
    <w:rsid w:val="6A1C5398"/>
    <w:rsid w:val="6A1CC0E9"/>
    <w:rsid w:val="6A1D76A0"/>
    <w:rsid w:val="6A1F8801"/>
    <w:rsid w:val="6A217830"/>
    <w:rsid w:val="6A21DD69"/>
    <w:rsid w:val="6A226436"/>
    <w:rsid w:val="6A26A541"/>
    <w:rsid w:val="6A292241"/>
    <w:rsid w:val="6A2A7095"/>
    <w:rsid w:val="6A2C01BA"/>
    <w:rsid w:val="6A2CE455"/>
    <w:rsid w:val="6A2D0552"/>
    <w:rsid w:val="6A2F4145"/>
    <w:rsid w:val="6A307451"/>
    <w:rsid w:val="6A333485"/>
    <w:rsid w:val="6A343860"/>
    <w:rsid w:val="6A3461B8"/>
    <w:rsid w:val="6A36777F"/>
    <w:rsid w:val="6A3B4982"/>
    <w:rsid w:val="6A3BACE1"/>
    <w:rsid w:val="6A3D7E8F"/>
    <w:rsid w:val="6A3E1F44"/>
    <w:rsid w:val="6A3E75C4"/>
    <w:rsid w:val="6A40193F"/>
    <w:rsid w:val="6A521434"/>
    <w:rsid w:val="6A5296E1"/>
    <w:rsid w:val="6A53CF62"/>
    <w:rsid w:val="6A5567E6"/>
    <w:rsid w:val="6A5DF894"/>
    <w:rsid w:val="6A6174E6"/>
    <w:rsid w:val="6A626531"/>
    <w:rsid w:val="6A62C960"/>
    <w:rsid w:val="6A65362B"/>
    <w:rsid w:val="6A689DB0"/>
    <w:rsid w:val="6A6DB353"/>
    <w:rsid w:val="6A6F9DC8"/>
    <w:rsid w:val="6A6FF498"/>
    <w:rsid w:val="6A701D70"/>
    <w:rsid w:val="6A718F1F"/>
    <w:rsid w:val="6A739F1A"/>
    <w:rsid w:val="6A78E3B2"/>
    <w:rsid w:val="6A7AAC93"/>
    <w:rsid w:val="6A7C2680"/>
    <w:rsid w:val="6A7E54BA"/>
    <w:rsid w:val="6A7F3272"/>
    <w:rsid w:val="6A7F50B6"/>
    <w:rsid w:val="6A8051EF"/>
    <w:rsid w:val="6A80E7E5"/>
    <w:rsid w:val="6A819257"/>
    <w:rsid w:val="6A836897"/>
    <w:rsid w:val="6A8E7FE8"/>
    <w:rsid w:val="6A94EF83"/>
    <w:rsid w:val="6A9D3664"/>
    <w:rsid w:val="6A9E2521"/>
    <w:rsid w:val="6AA0F838"/>
    <w:rsid w:val="6AA1865C"/>
    <w:rsid w:val="6AA3CC06"/>
    <w:rsid w:val="6AA49590"/>
    <w:rsid w:val="6AA96715"/>
    <w:rsid w:val="6AADFD52"/>
    <w:rsid w:val="6AAEA61A"/>
    <w:rsid w:val="6AB63B29"/>
    <w:rsid w:val="6AB6C16D"/>
    <w:rsid w:val="6ABD56AF"/>
    <w:rsid w:val="6ABF4656"/>
    <w:rsid w:val="6AC5F5C9"/>
    <w:rsid w:val="6AC94700"/>
    <w:rsid w:val="6ACF9398"/>
    <w:rsid w:val="6ACFAAF4"/>
    <w:rsid w:val="6AD01225"/>
    <w:rsid w:val="6AD10E6B"/>
    <w:rsid w:val="6AD2F2DC"/>
    <w:rsid w:val="6ADD26F5"/>
    <w:rsid w:val="6AEB7B6F"/>
    <w:rsid w:val="6AEBB333"/>
    <w:rsid w:val="6AEF46E2"/>
    <w:rsid w:val="6AEFFA44"/>
    <w:rsid w:val="6AF740EA"/>
    <w:rsid w:val="6AF7FC24"/>
    <w:rsid w:val="6AFCF89E"/>
    <w:rsid w:val="6AFE0917"/>
    <w:rsid w:val="6B050FAC"/>
    <w:rsid w:val="6B06BA15"/>
    <w:rsid w:val="6B0A781C"/>
    <w:rsid w:val="6B0C4165"/>
    <w:rsid w:val="6B0CF576"/>
    <w:rsid w:val="6B0D3BE1"/>
    <w:rsid w:val="6B0E0934"/>
    <w:rsid w:val="6B11172B"/>
    <w:rsid w:val="6B134285"/>
    <w:rsid w:val="6B1875D9"/>
    <w:rsid w:val="6B18937C"/>
    <w:rsid w:val="6B191F7C"/>
    <w:rsid w:val="6B216C1C"/>
    <w:rsid w:val="6B230F7C"/>
    <w:rsid w:val="6B23499E"/>
    <w:rsid w:val="6B236AA4"/>
    <w:rsid w:val="6B297AD1"/>
    <w:rsid w:val="6B2A7999"/>
    <w:rsid w:val="6B2E68D9"/>
    <w:rsid w:val="6B2F0F12"/>
    <w:rsid w:val="6B335337"/>
    <w:rsid w:val="6B34FCAC"/>
    <w:rsid w:val="6B37D708"/>
    <w:rsid w:val="6B3A5090"/>
    <w:rsid w:val="6B3B311F"/>
    <w:rsid w:val="6B426881"/>
    <w:rsid w:val="6B452A5A"/>
    <w:rsid w:val="6B48DA06"/>
    <w:rsid w:val="6B572B39"/>
    <w:rsid w:val="6B5983B2"/>
    <w:rsid w:val="6B59B84C"/>
    <w:rsid w:val="6B659E66"/>
    <w:rsid w:val="6B66D870"/>
    <w:rsid w:val="6B67F683"/>
    <w:rsid w:val="6B75CAD4"/>
    <w:rsid w:val="6B76F4CB"/>
    <w:rsid w:val="6B7D273E"/>
    <w:rsid w:val="6B7F426B"/>
    <w:rsid w:val="6B7F7A2B"/>
    <w:rsid w:val="6B82B437"/>
    <w:rsid w:val="6B8686C0"/>
    <w:rsid w:val="6B8B0498"/>
    <w:rsid w:val="6B8B04D7"/>
    <w:rsid w:val="6B8C9D0C"/>
    <w:rsid w:val="6B8EA000"/>
    <w:rsid w:val="6B8FBE92"/>
    <w:rsid w:val="6B94EE21"/>
    <w:rsid w:val="6B97C6F9"/>
    <w:rsid w:val="6B9B1331"/>
    <w:rsid w:val="6B9BC144"/>
    <w:rsid w:val="6B9FA4F9"/>
    <w:rsid w:val="6BA4790E"/>
    <w:rsid w:val="6BA6E282"/>
    <w:rsid w:val="6BAE5E7C"/>
    <w:rsid w:val="6BB00563"/>
    <w:rsid w:val="6BB1C9E4"/>
    <w:rsid w:val="6BB511D8"/>
    <w:rsid w:val="6BB9728B"/>
    <w:rsid w:val="6BBB8329"/>
    <w:rsid w:val="6BBC8144"/>
    <w:rsid w:val="6BC233FD"/>
    <w:rsid w:val="6BC5A665"/>
    <w:rsid w:val="6BC6B5CF"/>
    <w:rsid w:val="6BC6BED7"/>
    <w:rsid w:val="6BC9A359"/>
    <w:rsid w:val="6BCB4FC7"/>
    <w:rsid w:val="6BCB73A7"/>
    <w:rsid w:val="6BCCEC58"/>
    <w:rsid w:val="6BD2E9C8"/>
    <w:rsid w:val="6BD35056"/>
    <w:rsid w:val="6BD480D1"/>
    <w:rsid w:val="6BD89C03"/>
    <w:rsid w:val="6BD998D6"/>
    <w:rsid w:val="6BDF38BE"/>
    <w:rsid w:val="6BE186EE"/>
    <w:rsid w:val="6BE304F1"/>
    <w:rsid w:val="6BE436B2"/>
    <w:rsid w:val="6BE4CBB3"/>
    <w:rsid w:val="6BE5DE37"/>
    <w:rsid w:val="6BE63C4B"/>
    <w:rsid w:val="6BE9BACF"/>
    <w:rsid w:val="6BEA400B"/>
    <w:rsid w:val="6BEA682C"/>
    <w:rsid w:val="6BF2100A"/>
    <w:rsid w:val="6BF248FF"/>
    <w:rsid w:val="6BF6CB2B"/>
    <w:rsid w:val="6BF7B863"/>
    <w:rsid w:val="6BF89E4C"/>
    <w:rsid w:val="6BFA4285"/>
    <w:rsid w:val="6BFDBB33"/>
    <w:rsid w:val="6C00431A"/>
    <w:rsid w:val="6C0075F5"/>
    <w:rsid w:val="6C00AB75"/>
    <w:rsid w:val="6C01497F"/>
    <w:rsid w:val="6C038E37"/>
    <w:rsid w:val="6C0532A8"/>
    <w:rsid w:val="6C072FF8"/>
    <w:rsid w:val="6C0ACBEF"/>
    <w:rsid w:val="6C11BCC8"/>
    <w:rsid w:val="6C13588C"/>
    <w:rsid w:val="6C14EA93"/>
    <w:rsid w:val="6C170440"/>
    <w:rsid w:val="6C19292B"/>
    <w:rsid w:val="6C1DC02F"/>
    <w:rsid w:val="6C1EACEC"/>
    <w:rsid w:val="6C1EDDD1"/>
    <w:rsid w:val="6C24BAA1"/>
    <w:rsid w:val="6C2FF8F4"/>
    <w:rsid w:val="6C302EC7"/>
    <w:rsid w:val="6C328FC2"/>
    <w:rsid w:val="6C34B80A"/>
    <w:rsid w:val="6C366FDF"/>
    <w:rsid w:val="6C38A426"/>
    <w:rsid w:val="6C3A139D"/>
    <w:rsid w:val="6C41E22F"/>
    <w:rsid w:val="6C43CC17"/>
    <w:rsid w:val="6C47227A"/>
    <w:rsid w:val="6C51F1D5"/>
    <w:rsid w:val="6C522502"/>
    <w:rsid w:val="6C564A62"/>
    <w:rsid w:val="6C65E666"/>
    <w:rsid w:val="6C66B295"/>
    <w:rsid w:val="6C68123F"/>
    <w:rsid w:val="6C687EB9"/>
    <w:rsid w:val="6C7258D4"/>
    <w:rsid w:val="6C72C1D5"/>
    <w:rsid w:val="6C756854"/>
    <w:rsid w:val="6C773FB0"/>
    <w:rsid w:val="6C7DA643"/>
    <w:rsid w:val="6C830AFE"/>
    <w:rsid w:val="6C872A2A"/>
    <w:rsid w:val="6C8A8B82"/>
    <w:rsid w:val="6C8B3DE4"/>
    <w:rsid w:val="6C8D6FBB"/>
    <w:rsid w:val="6C975E7F"/>
    <w:rsid w:val="6C97E19C"/>
    <w:rsid w:val="6C9A09F4"/>
    <w:rsid w:val="6C9B0FC2"/>
    <w:rsid w:val="6C9EAC1C"/>
    <w:rsid w:val="6CA30406"/>
    <w:rsid w:val="6CA4971A"/>
    <w:rsid w:val="6CA72208"/>
    <w:rsid w:val="6CABBA41"/>
    <w:rsid w:val="6CAD2354"/>
    <w:rsid w:val="6CB070E9"/>
    <w:rsid w:val="6CB431C2"/>
    <w:rsid w:val="6CBB944F"/>
    <w:rsid w:val="6CC3D092"/>
    <w:rsid w:val="6CC52158"/>
    <w:rsid w:val="6CC5EDCE"/>
    <w:rsid w:val="6CC5F7D3"/>
    <w:rsid w:val="6CD78EE1"/>
    <w:rsid w:val="6CDA7A2F"/>
    <w:rsid w:val="6CDAB4C0"/>
    <w:rsid w:val="6CE0159B"/>
    <w:rsid w:val="6CE100E0"/>
    <w:rsid w:val="6CE8D583"/>
    <w:rsid w:val="6CEE4B16"/>
    <w:rsid w:val="6CEE7588"/>
    <w:rsid w:val="6CEEBE02"/>
    <w:rsid w:val="6CF1B102"/>
    <w:rsid w:val="6CF2BED5"/>
    <w:rsid w:val="6CF42614"/>
    <w:rsid w:val="6CFA52C2"/>
    <w:rsid w:val="6CFA70E6"/>
    <w:rsid w:val="6CFBA0BC"/>
    <w:rsid w:val="6CFF60D8"/>
    <w:rsid w:val="6D00F2F9"/>
    <w:rsid w:val="6D13D94E"/>
    <w:rsid w:val="6D13ED2C"/>
    <w:rsid w:val="6D18C621"/>
    <w:rsid w:val="6D18DB93"/>
    <w:rsid w:val="6D1B6E53"/>
    <w:rsid w:val="6D2147B0"/>
    <w:rsid w:val="6D22040C"/>
    <w:rsid w:val="6D22D222"/>
    <w:rsid w:val="6D289627"/>
    <w:rsid w:val="6D29FE60"/>
    <w:rsid w:val="6D2CC3D8"/>
    <w:rsid w:val="6D2E873D"/>
    <w:rsid w:val="6D32F7D0"/>
    <w:rsid w:val="6D349EDB"/>
    <w:rsid w:val="6D3A97EA"/>
    <w:rsid w:val="6D3B6674"/>
    <w:rsid w:val="6D3C3D47"/>
    <w:rsid w:val="6D452785"/>
    <w:rsid w:val="6D46BF07"/>
    <w:rsid w:val="6D4A4112"/>
    <w:rsid w:val="6D4C5F90"/>
    <w:rsid w:val="6D4DEF42"/>
    <w:rsid w:val="6D4F8954"/>
    <w:rsid w:val="6D52003B"/>
    <w:rsid w:val="6D523DF9"/>
    <w:rsid w:val="6D539DD3"/>
    <w:rsid w:val="6D54C8E6"/>
    <w:rsid w:val="6D59179D"/>
    <w:rsid w:val="6D5F1EDF"/>
    <w:rsid w:val="6D5FF27F"/>
    <w:rsid w:val="6D6314C9"/>
    <w:rsid w:val="6D65292D"/>
    <w:rsid w:val="6D67A091"/>
    <w:rsid w:val="6D6A15DD"/>
    <w:rsid w:val="6D6A894E"/>
    <w:rsid w:val="6D709EDB"/>
    <w:rsid w:val="6D70F26C"/>
    <w:rsid w:val="6D766889"/>
    <w:rsid w:val="6D76A5BF"/>
    <w:rsid w:val="6D7C4B23"/>
    <w:rsid w:val="6D7C823E"/>
    <w:rsid w:val="6D7D1E35"/>
    <w:rsid w:val="6D7F8235"/>
    <w:rsid w:val="6D815C5F"/>
    <w:rsid w:val="6D82BFA5"/>
    <w:rsid w:val="6D834D0C"/>
    <w:rsid w:val="6D85E956"/>
    <w:rsid w:val="6D8652AD"/>
    <w:rsid w:val="6D885AFF"/>
    <w:rsid w:val="6D8B5C15"/>
    <w:rsid w:val="6D9090FF"/>
    <w:rsid w:val="6D90FA13"/>
    <w:rsid w:val="6D940B2B"/>
    <w:rsid w:val="6D9B692B"/>
    <w:rsid w:val="6DA52718"/>
    <w:rsid w:val="6DA7F7CA"/>
    <w:rsid w:val="6DA91963"/>
    <w:rsid w:val="6DAB5CA2"/>
    <w:rsid w:val="6DAFD22A"/>
    <w:rsid w:val="6DB02786"/>
    <w:rsid w:val="6DB2A3D9"/>
    <w:rsid w:val="6DB2C39C"/>
    <w:rsid w:val="6DB38A4D"/>
    <w:rsid w:val="6DB6F178"/>
    <w:rsid w:val="6DB7C9D2"/>
    <w:rsid w:val="6DBA5D97"/>
    <w:rsid w:val="6DBD52F0"/>
    <w:rsid w:val="6DBE1052"/>
    <w:rsid w:val="6DC1C021"/>
    <w:rsid w:val="6DC3717E"/>
    <w:rsid w:val="6DC4631A"/>
    <w:rsid w:val="6DC51B59"/>
    <w:rsid w:val="6DC55FEE"/>
    <w:rsid w:val="6DCA6DB1"/>
    <w:rsid w:val="6DCAEA4E"/>
    <w:rsid w:val="6DCD48EF"/>
    <w:rsid w:val="6DCF14F4"/>
    <w:rsid w:val="6DCFF4FF"/>
    <w:rsid w:val="6DD7C9B3"/>
    <w:rsid w:val="6DD867FC"/>
    <w:rsid w:val="6DD8E472"/>
    <w:rsid w:val="6DDAF3D3"/>
    <w:rsid w:val="6DDBAAD3"/>
    <w:rsid w:val="6DDD0FFD"/>
    <w:rsid w:val="6DDE78E6"/>
    <w:rsid w:val="6DE123CB"/>
    <w:rsid w:val="6DE2930B"/>
    <w:rsid w:val="6DE2D823"/>
    <w:rsid w:val="6DE49682"/>
    <w:rsid w:val="6DE5B8A2"/>
    <w:rsid w:val="6DEED9D4"/>
    <w:rsid w:val="6DEF2126"/>
    <w:rsid w:val="6DF072A8"/>
    <w:rsid w:val="6DF2FA76"/>
    <w:rsid w:val="6DF3036C"/>
    <w:rsid w:val="6DF52C80"/>
    <w:rsid w:val="6DF54337"/>
    <w:rsid w:val="6DFC35B8"/>
    <w:rsid w:val="6DFE82B5"/>
    <w:rsid w:val="6E032F5C"/>
    <w:rsid w:val="6E03C982"/>
    <w:rsid w:val="6E0B451E"/>
    <w:rsid w:val="6E12D34F"/>
    <w:rsid w:val="6E13A221"/>
    <w:rsid w:val="6E1762B6"/>
    <w:rsid w:val="6E1918EA"/>
    <w:rsid w:val="6E284951"/>
    <w:rsid w:val="6E2F4E0C"/>
    <w:rsid w:val="6E302177"/>
    <w:rsid w:val="6E33EA6D"/>
    <w:rsid w:val="6E34057F"/>
    <w:rsid w:val="6E3549E2"/>
    <w:rsid w:val="6E3A0642"/>
    <w:rsid w:val="6E3B2DDF"/>
    <w:rsid w:val="6E3ED39B"/>
    <w:rsid w:val="6E43AAB4"/>
    <w:rsid w:val="6E499FCD"/>
    <w:rsid w:val="6E4C30C6"/>
    <w:rsid w:val="6E4D8AAD"/>
    <w:rsid w:val="6E505940"/>
    <w:rsid w:val="6E52E94B"/>
    <w:rsid w:val="6E531D39"/>
    <w:rsid w:val="6E58754F"/>
    <w:rsid w:val="6E68967A"/>
    <w:rsid w:val="6E6D3F14"/>
    <w:rsid w:val="6E7386B4"/>
    <w:rsid w:val="6E79E0C9"/>
    <w:rsid w:val="6E7DC814"/>
    <w:rsid w:val="6E80D416"/>
    <w:rsid w:val="6E827A83"/>
    <w:rsid w:val="6E885A32"/>
    <w:rsid w:val="6E88DB92"/>
    <w:rsid w:val="6E8A5981"/>
    <w:rsid w:val="6E8B0358"/>
    <w:rsid w:val="6E8CF0CD"/>
    <w:rsid w:val="6E909EA5"/>
    <w:rsid w:val="6E93B1D1"/>
    <w:rsid w:val="6E98A712"/>
    <w:rsid w:val="6E9AFDA6"/>
    <w:rsid w:val="6EA66371"/>
    <w:rsid w:val="6EA67CC8"/>
    <w:rsid w:val="6EAD9704"/>
    <w:rsid w:val="6EB0A9F3"/>
    <w:rsid w:val="6EB2DCAC"/>
    <w:rsid w:val="6EB37B36"/>
    <w:rsid w:val="6EB865B2"/>
    <w:rsid w:val="6EB88EF7"/>
    <w:rsid w:val="6EC0A7DA"/>
    <w:rsid w:val="6EC1EA66"/>
    <w:rsid w:val="6EC4AA71"/>
    <w:rsid w:val="6EC55A08"/>
    <w:rsid w:val="6EC7352B"/>
    <w:rsid w:val="6EC82CEF"/>
    <w:rsid w:val="6ECBC6D8"/>
    <w:rsid w:val="6ECFB7D8"/>
    <w:rsid w:val="6ED41D19"/>
    <w:rsid w:val="6ED4F181"/>
    <w:rsid w:val="6ED8AD98"/>
    <w:rsid w:val="6EDA7715"/>
    <w:rsid w:val="6EE14270"/>
    <w:rsid w:val="6EEA49E5"/>
    <w:rsid w:val="6EEBA4CC"/>
    <w:rsid w:val="6EEE4E6E"/>
    <w:rsid w:val="6EF0E7C3"/>
    <w:rsid w:val="6EF90AB9"/>
    <w:rsid w:val="6EFC76DA"/>
    <w:rsid w:val="6EFEE7CC"/>
    <w:rsid w:val="6F0CEC80"/>
    <w:rsid w:val="6F0EEF9C"/>
    <w:rsid w:val="6F18021C"/>
    <w:rsid w:val="6F2A90CE"/>
    <w:rsid w:val="6F3B1397"/>
    <w:rsid w:val="6F41A20F"/>
    <w:rsid w:val="6F444E85"/>
    <w:rsid w:val="6F47D4CA"/>
    <w:rsid w:val="6F4B0293"/>
    <w:rsid w:val="6F4DF638"/>
    <w:rsid w:val="6F4E8099"/>
    <w:rsid w:val="6F4F08E2"/>
    <w:rsid w:val="6F51F1B4"/>
    <w:rsid w:val="6F52D4E7"/>
    <w:rsid w:val="6F5342CC"/>
    <w:rsid w:val="6F55404C"/>
    <w:rsid w:val="6F587F9F"/>
    <w:rsid w:val="6F5C346C"/>
    <w:rsid w:val="6F5E39A0"/>
    <w:rsid w:val="6F6860A6"/>
    <w:rsid w:val="6F6A1881"/>
    <w:rsid w:val="6F6A7BE0"/>
    <w:rsid w:val="6F6ED774"/>
    <w:rsid w:val="6F78E05E"/>
    <w:rsid w:val="6F793A41"/>
    <w:rsid w:val="6F7A1771"/>
    <w:rsid w:val="6F7B9DFC"/>
    <w:rsid w:val="6F7F4559"/>
    <w:rsid w:val="6F7F5231"/>
    <w:rsid w:val="6F81A82F"/>
    <w:rsid w:val="6F81F8F7"/>
    <w:rsid w:val="6F824EFA"/>
    <w:rsid w:val="6F8538CB"/>
    <w:rsid w:val="6F98429C"/>
    <w:rsid w:val="6F9CB823"/>
    <w:rsid w:val="6F9E218D"/>
    <w:rsid w:val="6F9ECE9B"/>
    <w:rsid w:val="6FA3206D"/>
    <w:rsid w:val="6FA6D665"/>
    <w:rsid w:val="6FA78164"/>
    <w:rsid w:val="6FA7E4C2"/>
    <w:rsid w:val="6FA93258"/>
    <w:rsid w:val="6FAAEA34"/>
    <w:rsid w:val="6FB17431"/>
    <w:rsid w:val="6FB23D0F"/>
    <w:rsid w:val="6FB4D8B8"/>
    <w:rsid w:val="6FB5DDCC"/>
    <w:rsid w:val="6FB91BEF"/>
    <w:rsid w:val="6FBAA360"/>
    <w:rsid w:val="6FBFF999"/>
    <w:rsid w:val="6FC1ED35"/>
    <w:rsid w:val="6FC3A9E7"/>
    <w:rsid w:val="6FC4A271"/>
    <w:rsid w:val="6FC5D0B8"/>
    <w:rsid w:val="6FC77759"/>
    <w:rsid w:val="6FC7D4FB"/>
    <w:rsid w:val="6FC8C9E9"/>
    <w:rsid w:val="6FC98AA1"/>
    <w:rsid w:val="6FCB982C"/>
    <w:rsid w:val="6FCBEEE8"/>
    <w:rsid w:val="6FCD7A43"/>
    <w:rsid w:val="6FE0747F"/>
    <w:rsid w:val="6FE0AD5F"/>
    <w:rsid w:val="6FE4B183"/>
    <w:rsid w:val="6FE5B37A"/>
    <w:rsid w:val="6FE647F4"/>
    <w:rsid w:val="6FEF1331"/>
    <w:rsid w:val="6FF1BAB9"/>
    <w:rsid w:val="6FF46D05"/>
    <w:rsid w:val="6FF486ED"/>
    <w:rsid w:val="6FF660AE"/>
    <w:rsid w:val="6FF71C00"/>
    <w:rsid w:val="6FFE9E98"/>
    <w:rsid w:val="70060E49"/>
    <w:rsid w:val="700E4810"/>
    <w:rsid w:val="7012B013"/>
    <w:rsid w:val="7012C085"/>
    <w:rsid w:val="70151E84"/>
    <w:rsid w:val="70171674"/>
    <w:rsid w:val="70186826"/>
    <w:rsid w:val="701AD021"/>
    <w:rsid w:val="701BA5DD"/>
    <w:rsid w:val="701C32FD"/>
    <w:rsid w:val="701DD39A"/>
    <w:rsid w:val="7020AF09"/>
    <w:rsid w:val="7025A9FD"/>
    <w:rsid w:val="702629F4"/>
    <w:rsid w:val="702653CA"/>
    <w:rsid w:val="7027F0C9"/>
    <w:rsid w:val="70302C57"/>
    <w:rsid w:val="7031F310"/>
    <w:rsid w:val="70382DB9"/>
    <w:rsid w:val="70396F31"/>
    <w:rsid w:val="703BE13E"/>
    <w:rsid w:val="70437483"/>
    <w:rsid w:val="704496AC"/>
    <w:rsid w:val="70530869"/>
    <w:rsid w:val="7053B3E6"/>
    <w:rsid w:val="705568AF"/>
    <w:rsid w:val="705DBAC7"/>
    <w:rsid w:val="7061C0AE"/>
    <w:rsid w:val="70661B2F"/>
    <w:rsid w:val="7068E497"/>
    <w:rsid w:val="70701B43"/>
    <w:rsid w:val="707464E7"/>
    <w:rsid w:val="70764776"/>
    <w:rsid w:val="707C2AE2"/>
    <w:rsid w:val="708008AD"/>
    <w:rsid w:val="7081FB73"/>
    <w:rsid w:val="7084926A"/>
    <w:rsid w:val="708873BB"/>
    <w:rsid w:val="708BF348"/>
    <w:rsid w:val="709C5369"/>
    <w:rsid w:val="709CC9EF"/>
    <w:rsid w:val="709DC3A7"/>
    <w:rsid w:val="709FBF29"/>
    <w:rsid w:val="70A2D743"/>
    <w:rsid w:val="70AB04AF"/>
    <w:rsid w:val="70AC773A"/>
    <w:rsid w:val="70ADC421"/>
    <w:rsid w:val="70B26A75"/>
    <w:rsid w:val="70B2F927"/>
    <w:rsid w:val="70B388DF"/>
    <w:rsid w:val="70B871F8"/>
    <w:rsid w:val="70BB658E"/>
    <w:rsid w:val="70BECB32"/>
    <w:rsid w:val="70BF7B6E"/>
    <w:rsid w:val="70BFB586"/>
    <w:rsid w:val="70CB2C04"/>
    <w:rsid w:val="70CD044C"/>
    <w:rsid w:val="70CF6530"/>
    <w:rsid w:val="70D8A3CB"/>
    <w:rsid w:val="70DB6412"/>
    <w:rsid w:val="70DB6AAC"/>
    <w:rsid w:val="70DC26CE"/>
    <w:rsid w:val="70DD7380"/>
    <w:rsid w:val="70DED234"/>
    <w:rsid w:val="70E0128E"/>
    <w:rsid w:val="70E86FC5"/>
    <w:rsid w:val="70EF3BA0"/>
    <w:rsid w:val="70EF7C75"/>
    <w:rsid w:val="70F5CA26"/>
    <w:rsid w:val="70FB3232"/>
    <w:rsid w:val="70FB6C2B"/>
    <w:rsid w:val="70FF100D"/>
    <w:rsid w:val="7100AE8B"/>
    <w:rsid w:val="71062EB9"/>
    <w:rsid w:val="7107D28B"/>
    <w:rsid w:val="7108DAF6"/>
    <w:rsid w:val="710D9588"/>
    <w:rsid w:val="710F5CE9"/>
    <w:rsid w:val="71131806"/>
    <w:rsid w:val="71132E68"/>
    <w:rsid w:val="7114B0BF"/>
    <w:rsid w:val="711558BC"/>
    <w:rsid w:val="711AFA5B"/>
    <w:rsid w:val="711AFD03"/>
    <w:rsid w:val="711B96A9"/>
    <w:rsid w:val="711D3FD4"/>
    <w:rsid w:val="711E99DC"/>
    <w:rsid w:val="7125DCBA"/>
    <w:rsid w:val="7128136A"/>
    <w:rsid w:val="7128B5A3"/>
    <w:rsid w:val="712BCA11"/>
    <w:rsid w:val="71318E81"/>
    <w:rsid w:val="713E9E71"/>
    <w:rsid w:val="7141AB6D"/>
    <w:rsid w:val="7145A089"/>
    <w:rsid w:val="7151AE2D"/>
    <w:rsid w:val="7152A0E4"/>
    <w:rsid w:val="71583836"/>
    <w:rsid w:val="71587894"/>
    <w:rsid w:val="71589997"/>
    <w:rsid w:val="715DB280"/>
    <w:rsid w:val="715E340F"/>
    <w:rsid w:val="715EBF6C"/>
    <w:rsid w:val="7161A6AD"/>
    <w:rsid w:val="7163903E"/>
    <w:rsid w:val="7165F9B7"/>
    <w:rsid w:val="7166C92E"/>
    <w:rsid w:val="7168F07F"/>
    <w:rsid w:val="7169A164"/>
    <w:rsid w:val="7169DD1F"/>
    <w:rsid w:val="716B995A"/>
    <w:rsid w:val="716C36BA"/>
    <w:rsid w:val="716C6D43"/>
    <w:rsid w:val="71710CAC"/>
    <w:rsid w:val="71724FAE"/>
    <w:rsid w:val="7177E4B0"/>
    <w:rsid w:val="71782CD6"/>
    <w:rsid w:val="7178CFE8"/>
    <w:rsid w:val="7180309C"/>
    <w:rsid w:val="7181C9E6"/>
    <w:rsid w:val="7182BDFB"/>
    <w:rsid w:val="71832E55"/>
    <w:rsid w:val="71931710"/>
    <w:rsid w:val="719774E8"/>
    <w:rsid w:val="71A00D93"/>
    <w:rsid w:val="71AABE6F"/>
    <w:rsid w:val="71AB3D0B"/>
    <w:rsid w:val="71ABEEFB"/>
    <w:rsid w:val="71B27544"/>
    <w:rsid w:val="71BC0ACD"/>
    <w:rsid w:val="71BCE402"/>
    <w:rsid w:val="71BE7AAF"/>
    <w:rsid w:val="71C1433A"/>
    <w:rsid w:val="71C434B8"/>
    <w:rsid w:val="71D1F695"/>
    <w:rsid w:val="71D1F839"/>
    <w:rsid w:val="71D251EE"/>
    <w:rsid w:val="71D3163F"/>
    <w:rsid w:val="71DA5C45"/>
    <w:rsid w:val="71E09917"/>
    <w:rsid w:val="71E55F84"/>
    <w:rsid w:val="71E68264"/>
    <w:rsid w:val="71ED35CB"/>
    <w:rsid w:val="71EE7152"/>
    <w:rsid w:val="71F77ECC"/>
    <w:rsid w:val="71F8BDD6"/>
    <w:rsid w:val="71FC782B"/>
    <w:rsid w:val="71FC9940"/>
    <w:rsid w:val="7200DD00"/>
    <w:rsid w:val="7202CE00"/>
    <w:rsid w:val="7209C724"/>
    <w:rsid w:val="720B1575"/>
    <w:rsid w:val="720B5F36"/>
    <w:rsid w:val="720C5A78"/>
    <w:rsid w:val="720E9508"/>
    <w:rsid w:val="7213BCE8"/>
    <w:rsid w:val="721FBC81"/>
    <w:rsid w:val="72264544"/>
    <w:rsid w:val="72277579"/>
    <w:rsid w:val="7229FFE9"/>
    <w:rsid w:val="722F7811"/>
    <w:rsid w:val="722F91C2"/>
    <w:rsid w:val="722FF95D"/>
    <w:rsid w:val="72306165"/>
    <w:rsid w:val="7231762D"/>
    <w:rsid w:val="72330CBD"/>
    <w:rsid w:val="7234021D"/>
    <w:rsid w:val="72376D49"/>
    <w:rsid w:val="723BA6B9"/>
    <w:rsid w:val="724060DB"/>
    <w:rsid w:val="724118CB"/>
    <w:rsid w:val="724132EC"/>
    <w:rsid w:val="7248CBAD"/>
    <w:rsid w:val="72499C4B"/>
    <w:rsid w:val="724EFF06"/>
    <w:rsid w:val="725185FA"/>
    <w:rsid w:val="7251B9BB"/>
    <w:rsid w:val="725B7D04"/>
    <w:rsid w:val="725B85E7"/>
    <w:rsid w:val="725D6E16"/>
    <w:rsid w:val="725E3BBD"/>
    <w:rsid w:val="7260E6C3"/>
    <w:rsid w:val="7262865A"/>
    <w:rsid w:val="7264D6E5"/>
    <w:rsid w:val="726895E6"/>
    <w:rsid w:val="726EEF58"/>
    <w:rsid w:val="7273A912"/>
    <w:rsid w:val="727519D6"/>
    <w:rsid w:val="727E63AC"/>
    <w:rsid w:val="7285D57E"/>
    <w:rsid w:val="7286F033"/>
    <w:rsid w:val="72891528"/>
    <w:rsid w:val="728C02EC"/>
    <w:rsid w:val="72970DA8"/>
    <w:rsid w:val="7299E53E"/>
    <w:rsid w:val="729F0908"/>
    <w:rsid w:val="72A13494"/>
    <w:rsid w:val="72A8385B"/>
    <w:rsid w:val="72A86394"/>
    <w:rsid w:val="72AA5E9A"/>
    <w:rsid w:val="72B35D32"/>
    <w:rsid w:val="72B4A34A"/>
    <w:rsid w:val="72B7D55D"/>
    <w:rsid w:val="72B84E0A"/>
    <w:rsid w:val="72B903BE"/>
    <w:rsid w:val="72BAF305"/>
    <w:rsid w:val="72BC8D37"/>
    <w:rsid w:val="72C3E3CB"/>
    <w:rsid w:val="72C4076E"/>
    <w:rsid w:val="72C4346E"/>
    <w:rsid w:val="72C4F673"/>
    <w:rsid w:val="72D4BCCE"/>
    <w:rsid w:val="72D85BFB"/>
    <w:rsid w:val="72D863CA"/>
    <w:rsid w:val="72D88379"/>
    <w:rsid w:val="72E7681B"/>
    <w:rsid w:val="72E7867A"/>
    <w:rsid w:val="72E7D752"/>
    <w:rsid w:val="72E8FE8D"/>
    <w:rsid w:val="72ED29CA"/>
    <w:rsid w:val="72F9385E"/>
    <w:rsid w:val="72FA24E6"/>
    <w:rsid w:val="7301A02E"/>
    <w:rsid w:val="7303348D"/>
    <w:rsid w:val="730BF6C5"/>
    <w:rsid w:val="7311165D"/>
    <w:rsid w:val="73152F1A"/>
    <w:rsid w:val="7318D49B"/>
    <w:rsid w:val="731D48AC"/>
    <w:rsid w:val="731ED708"/>
    <w:rsid w:val="732D94DD"/>
    <w:rsid w:val="7330B08E"/>
    <w:rsid w:val="73338FC8"/>
    <w:rsid w:val="733C2D00"/>
    <w:rsid w:val="733CF41C"/>
    <w:rsid w:val="7346F6E4"/>
    <w:rsid w:val="7347E874"/>
    <w:rsid w:val="734BEC2C"/>
    <w:rsid w:val="734E70FC"/>
    <w:rsid w:val="7357F237"/>
    <w:rsid w:val="7359D6EC"/>
    <w:rsid w:val="735C264A"/>
    <w:rsid w:val="735C640D"/>
    <w:rsid w:val="735CA2E4"/>
    <w:rsid w:val="735D4518"/>
    <w:rsid w:val="736092E2"/>
    <w:rsid w:val="7366C0D0"/>
    <w:rsid w:val="73695E7C"/>
    <w:rsid w:val="736ADC65"/>
    <w:rsid w:val="736F7C1D"/>
    <w:rsid w:val="7371D891"/>
    <w:rsid w:val="73722FE5"/>
    <w:rsid w:val="737509A7"/>
    <w:rsid w:val="73779878"/>
    <w:rsid w:val="737CC5A4"/>
    <w:rsid w:val="737D1BEB"/>
    <w:rsid w:val="737FE7BD"/>
    <w:rsid w:val="73806913"/>
    <w:rsid w:val="738A77D8"/>
    <w:rsid w:val="738ED019"/>
    <w:rsid w:val="7397AB1E"/>
    <w:rsid w:val="7398374C"/>
    <w:rsid w:val="73989011"/>
    <w:rsid w:val="73993E85"/>
    <w:rsid w:val="739CAD61"/>
    <w:rsid w:val="73A2EBC8"/>
    <w:rsid w:val="73A47479"/>
    <w:rsid w:val="73A5208C"/>
    <w:rsid w:val="73A7DFC0"/>
    <w:rsid w:val="73AAB525"/>
    <w:rsid w:val="73BF0122"/>
    <w:rsid w:val="73C4C6FF"/>
    <w:rsid w:val="73C8FDA6"/>
    <w:rsid w:val="73CD290F"/>
    <w:rsid w:val="73CD69D5"/>
    <w:rsid w:val="73D11869"/>
    <w:rsid w:val="73D3486F"/>
    <w:rsid w:val="73D5099B"/>
    <w:rsid w:val="73D5F664"/>
    <w:rsid w:val="73D7EA13"/>
    <w:rsid w:val="73DBD552"/>
    <w:rsid w:val="73DCE92C"/>
    <w:rsid w:val="73DDDCF2"/>
    <w:rsid w:val="73DE8E50"/>
    <w:rsid w:val="73DF8A54"/>
    <w:rsid w:val="73E479BC"/>
    <w:rsid w:val="73E56F3A"/>
    <w:rsid w:val="73E81C23"/>
    <w:rsid w:val="73EA1933"/>
    <w:rsid w:val="73EDF09E"/>
    <w:rsid w:val="73F3EE98"/>
    <w:rsid w:val="73F6B35A"/>
    <w:rsid w:val="73F8FA0E"/>
    <w:rsid w:val="73FAAC13"/>
    <w:rsid w:val="740136F4"/>
    <w:rsid w:val="7402646B"/>
    <w:rsid w:val="74054214"/>
    <w:rsid w:val="7405A454"/>
    <w:rsid w:val="740DE21D"/>
    <w:rsid w:val="740F446C"/>
    <w:rsid w:val="74103024"/>
    <w:rsid w:val="7411D901"/>
    <w:rsid w:val="74170816"/>
    <w:rsid w:val="741CEF77"/>
    <w:rsid w:val="742A07F0"/>
    <w:rsid w:val="74381C67"/>
    <w:rsid w:val="7438786F"/>
    <w:rsid w:val="743A8A9D"/>
    <w:rsid w:val="743ABF72"/>
    <w:rsid w:val="743ADF5B"/>
    <w:rsid w:val="743BE65D"/>
    <w:rsid w:val="74491EC7"/>
    <w:rsid w:val="7449814A"/>
    <w:rsid w:val="744AB6FC"/>
    <w:rsid w:val="744F08CE"/>
    <w:rsid w:val="7453604C"/>
    <w:rsid w:val="745422C0"/>
    <w:rsid w:val="7454FA26"/>
    <w:rsid w:val="745DE32C"/>
    <w:rsid w:val="745EC629"/>
    <w:rsid w:val="7460A6AC"/>
    <w:rsid w:val="74629497"/>
    <w:rsid w:val="7463364F"/>
    <w:rsid w:val="746571B5"/>
    <w:rsid w:val="746ACCDA"/>
    <w:rsid w:val="746B3371"/>
    <w:rsid w:val="746CE431"/>
    <w:rsid w:val="7470A7D5"/>
    <w:rsid w:val="74747260"/>
    <w:rsid w:val="74766235"/>
    <w:rsid w:val="74794B25"/>
    <w:rsid w:val="747B8E17"/>
    <w:rsid w:val="747EDB80"/>
    <w:rsid w:val="748031FA"/>
    <w:rsid w:val="74842008"/>
    <w:rsid w:val="7487FC97"/>
    <w:rsid w:val="74882A41"/>
    <w:rsid w:val="74907E7D"/>
    <w:rsid w:val="749611E6"/>
    <w:rsid w:val="7497A26A"/>
    <w:rsid w:val="74A5EDF0"/>
    <w:rsid w:val="74AA12C8"/>
    <w:rsid w:val="74AE485C"/>
    <w:rsid w:val="74B22FD1"/>
    <w:rsid w:val="74B44C93"/>
    <w:rsid w:val="74BA5AC6"/>
    <w:rsid w:val="74BFD3F0"/>
    <w:rsid w:val="74C66AE3"/>
    <w:rsid w:val="74D036D7"/>
    <w:rsid w:val="74D1178A"/>
    <w:rsid w:val="74D16015"/>
    <w:rsid w:val="74D25D10"/>
    <w:rsid w:val="74E2B47D"/>
    <w:rsid w:val="74EA3452"/>
    <w:rsid w:val="74EAE04C"/>
    <w:rsid w:val="74EB5178"/>
    <w:rsid w:val="74EECC4A"/>
    <w:rsid w:val="74EEEBDD"/>
    <w:rsid w:val="74FE8093"/>
    <w:rsid w:val="75044F66"/>
    <w:rsid w:val="7507AC3F"/>
    <w:rsid w:val="7507F3A3"/>
    <w:rsid w:val="7508B672"/>
    <w:rsid w:val="7511E7AE"/>
    <w:rsid w:val="7517C24C"/>
    <w:rsid w:val="751C32C3"/>
    <w:rsid w:val="751EF49B"/>
    <w:rsid w:val="752274F3"/>
    <w:rsid w:val="75278887"/>
    <w:rsid w:val="7529D9A3"/>
    <w:rsid w:val="752B2D1E"/>
    <w:rsid w:val="752BC04B"/>
    <w:rsid w:val="7531DAB6"/>
    <w:rsid w:val="7536CFFB"/>
    <w:rsid w:val="753A6084"/>
    <w:rsid w:val="753EA90F"/>
    <w:rsid w:val="753ECC3B"/>
    <w:rsid w:val="7545327E"/>
    <w:rsid w:val="754899B9"/>
    <w:rsid w:val="754B5B54"/>
    <w:rsid w:val="754C9F37"/>
    <w:rsid w:val="754DD685"/>
    <w:rsid w:val="754E3F89"/>
    <w:rsid w:val="7550A3CC"/>
    <w:rsid w:val="75515CBE"/>
    <w:rsid w:val="7552180B"/>
    <w:rsid w:val="7555FDE0"/>
    <w:rsid w:val="7556D459"/>
    <w:rsid w:val="755721EC"/>
    <w:rsid w:val="755A1854"/>
    <w:rsid w:val="755FE959"/>
    <w:rsid w:val="756023D4"/>
    <w:rsid w:val="75622C59"/>
    <w:rsid w:val="75677C02"/>
    <w:rsid w:val="7568F776"/>
    <w:rsid w:val="757028BB"/>
    <w:rsid w:val="75759710"/>
    <w:rsid w:val="75762075"/>
    <w:rsid w:val="75772130"/>
    <w:rsid w:val="7578B98D"/>
    <w:rsid w:val="757E38B0"/>
    <w:rsid w:val="7581CEA9"/>
    <w:rsid w:val="75839E46"/>
    <w:rsid w:val="7585B48E"/>
    <w:rsid w:val="7589BADB"/>
    <w:rsid w:val="758D2D01"/>
    <w:rsid w:val="75907CF0"/>
    <w:rsid w:val="7592EC91"/>
    <w:rsid w:val="759554D2"/>
    <w:rsid w:val="75A09A0D"/>
    <w:rsid w:val="75A46C3E"/>
    <w:rsid w:val="75ACED02"/>
    <w:rsid w:val="75ADAE7A"/>
    <w:rsid w:val="75AFA44F"/>
    <w:rsid w:val="75BD8449"/>
    <w:rsid w:val="75BE559A"/>
    <w:rsid w:val="75BFAA4C"/>
    <w:rsid w:val="75C074B8"/>
    <w:rsid w:val="75C18471"/>
    <w:rsid w:val="75C78EF9"/>
    <w:rsid w:val="75C79643"/>
    <w:rsid w:val="75CB89A0"/>
    <w:rsid w:val="75CCC175"/>
    <w:rsid w:val="75CD0B42"/>
    <w:rsid w:val="75CD99FC"/>
    <w:rsid w:val="75CF40E9"/>
    <w:rsid w:val="75D41CB9"/>
    <w:rsid w:val="75D55E9D"/>
    <w:rsid w:val="75DD44AA"/>
    <w:rsid w:val="75DEA5B0"/>
    <w:rsid w:val="75E15B00"/>
    <w:rsid w:val="75E4811F"/>
    <w:rsid w:val="75E4E8CB"/>
    <w:rsid w:val="75EAE508"/>
    <w:rsid w:val="75ED7AF0"/>
    <w:rsid w:val="75EFABB4"/>
    <w:rsid w:val="75F24216"/>
    <w:rsid w:val="75F456E9"/>
    <w:rsid w:val="75F71E1A"/>
    <w:rsid w:val="7612445A"/>
    <w:rsid w:val="761D0B46"/>
    <w:rsid w:val="761E0468"/>
    <w:rsid w:val="7628452D"/>
    <w:rsid w:val="762AD7D7"/>
    <w:rsid w:val="762E2A6C"/>
    <w:rsid w:val="763312AE"/>
    <w:rsid w:val="763C8B54"/>
    <w:rsid w:val="763FC1AA"/>
    <w:rsid w:val="76408F95"/>
    <w:rsid w:val="7641A4E3"/>
    <w:rsid w:val="76433894"/>
    <w:rsid w:val="764F9D8C"/>
    <w:rsid w:val="76516915"/>
    <w:rsid w:val="7653BA31"/>
    <w:rsid w:val="765A3594"/>
    <w:rsid w:val="765D2A31"/>
    <w:rsid w:val="765D4181"/>
    <w:rsid w:val="765E155D"/>
    <w:rsid w:val="76601D00"/>
    <w:rsid w:val="7663E5A7"/>
    <w:rsid w:val="766559E2"/>
    <w:rsid w:val="7668E220"/>
    <w:rsid w:val="76692858"/>
    <w:rsid w:val="7672AF9E"/>
    <w:rsid w:val="76741495"/>
    <w:rsid w:val="7678D673"/>
    <w:rsid w:val="7679F1B8"/>
    <w:rsid w:val="767A472A"/>
    <w:rsid w:val="767E8A8D"/>
    <w:rsid w:val="767F2E1F"/>
    <w:rsid w:val="767F7018"/>
    <w:rsid w:val="76823E22"/>
    <w:rsid w:val="7683E36B"/>
    <w:rsid w:val="768830E7"/>
    <w:rsid w:val="768A1A56"/>
    <w:rsid w:val="768B5470"/>
    <w:rsid w:val="76972F7F"/>
    <w:rsid w:val="769CF0ED"/>
    <w:rsid w:val="769F592F"/>
    <w:rsid w:val="76A07DCE"/>
    <w:rsid w:val="76A5B9F6"/>
    <w:rsid w:val="76AA247B"/>
    <w:rsid w:val="76AA39C6"/>
    <w:rsid w:val="76B02ED8"/>
    <w:rsid w:val="76B98ADC"/>
    <w:rsid w:val="76C1704D"/>
    <w:rsid w:val="76C5309B"/>
    <w:rsid w:val="76D11746"/>
    <w:rsid w:val="76D699D0"/>
    <w:rsid w:val="76DC7439"/>
    <w:rsid w:val="76DDB54E"/>
    <w:rsid w:val="76E069BB"/>
    <w:rsid w:val="76E07AA2"/>
    <w:rsid w:val="76E434E1"/>
    <w:rsid w:val="76E64B01"/>
    <w:rsid w:val="76E66F2E"/>
    <w:rsid w:val="76E77A07"/>
    <w:rsid w:val="76E9CEC2"/>
    <w:rsid w:val="76F272B3"/>
    <w:rsid w:val="76F530CD"/>
    <w:rsid w:val="76F7CC60"/>
    <w:rsid w:val="76F80180"/>
    <w:rsid w:val="76FC4FEB"/>
    <w:rsid w:val="76FD2E8E"/>
    <w:rsid w:val="76FDC6C0"/>
    <w:rsid w:val="76FEB1BD"/>
    <w:rsid w:val="76FF6DBB"/>
    <w:rsid w:val="7701CEE2"/>
    <w:rsid w:val="7707FA6D"/>
    <w:rsid w:val="77080BF4"/>
    <w:rsid w:val="770DED0E"/>
    <w:rsid w:val="770F1AB2"/>
    <w:rsid w:val="77150D6D"/>
    <w:rsid w:val="771629B1"/>
    <w:rsid w:val="7718A6BF"/>
    <w:rsid w:val="771981FD"/>
    <w:rsid w:val="772018F7"/>
    <w:rsid w:val="77212A57"/>
    <w:rsid w:val="7723BC5E"/>
    <w:rsid w:val="772416D8"/>
    <w:rsid w:val="7724FA88"/>
    <w:rsid w:val="77263DF6"/>
    <w:rsid w:val="7726BD50"/>
    <w:rsid w:val="772A00A5"/>
    <w:rsid w:val="772BABC9"/>
    <w:rsid w:val="772C7B27"/>
    <w:rsid w:val="773226F9"/>
    <w:rsid w:val="77323360"/>
    <w:rsid w:val="77408EE6"/>
    <w:rsid w:val="7741552D"/>
    <w:rsid w:val="774343A2"/>
    <w:rsid w:val="7746B629"/>
    <w:rsid w:val="774CBCD2"/>
    <w:rsid w:val="774D5258"/>
    <w:rsid w:val="775598EA"/>
    <w:rsid w:val="77623EA6"/>
    <w:rsid w:val="7763D3CF"/>
    <w:rsid w:val="7763DDCA"/>
    <w:rsid w:val="77641FDD"/>
    <w:rsid w:val="7768F644"/>
    <w:rsid w:val="776AB119"/>
    <w:rsid w:val="776ED5E6"/>
    <w:rsid w:val="77716027"/>
    <w:rsid w:val="7773728B"/>
    <w:rsid w:val="77738094"/>
    <w:rsid w:val="7775ABCB"/>
    <w:rsid w:val="77782E62"/>
    <w:rsid w:val="7779BBFE"/>
    <w:rsid w:val="7779E6BD"/>
    <w:rsid w:val="777B7F5D"/>
    <w:rsid w:val="777E2C91"/>
    <w:rsid w:val="7784872B"/>
    <w:rsid w:val="778B7C15"/>
    <w:rsid w:val="778B8804"/>
    <w:rsid w:val="778DE11B"/>
    <w:rsid w:val="778EC598"/>
    <w:rsid w:val="778F1648"/>
    <w:rsid w:val="7790DD08"/>
    <w:rsid w:val="7792392B"/>
    <w:rsid w:val="77951358"/>
    <w:rsid w:val="77963108"/>
    <w:rsid w:val="7799B023"/>
    <w:rsid w:val="779FC832"/>
    <w:rsid w:val="77A43AFC"/>
    <w:rsid w:val="77AB0A42"/>
    <w:rsid w:val="77ADDB1C"/>
    <w:rsid w:val="77B2A2C4"/>
    <w:rsid w:val="77B4E5D0"/>
    <w:rsid w:val="77C44AFD"/>
    <w:rsid w:val="77C57175"/>
    <w:rsid w:val="77CFBD04"/>
    <w:rsid w:val="77D5E865"/>
    <w:rsid w:val="77DA7EB3"/>
    <w:rsid w:val="77DA8D65"/>
    <w:rsid w:val="77DB6149"/>
    <w:rsid w:val="77DBA4EA"/>
    <w:rsid w:val="77DC81B8"/>
    <w:rsid w:val="77DEF21C"/>
    <w:rsid w:val="77E5D5BE"/>
    <w:rsid w:val="77E713CE"/>
    <w:rsid w:val="77E85FE0"/>
    <w:rsid w:val="77E9A98C"/>
    <w:rsid w:val="77EA513B"/>
    <w:rsid w:val="77F03B6B"/>
    <w:rsid w:val="77F45A7B"/>
    <w:rsid w:val="77F6B2CD"/>
    <w:rsid w:val="77F9461F"/>
    <w:rsid w:val="77F9AC1C"/>
    <w:rsid w:val="77FA057D"/>
    <w:rsid w:val="77FC198F"/>
    <w:rsid w:val="77FF5031"/>
    <w:rsid w:val="7800CD13"/>
    <w:rsid w:val="780B3F55"/>
    <w:rsid w:val="78126064"/>
    <w:rsid w:val="781B457B"/>
    <w:rsid w:val="781B96F9"/>
    <w:rsid w:val="781C0B86"/>
    <w:rsid w:val="7823144E"/>
    <w:rsid w:val="78242F39"/>
    <w:rsid w:val="7826ECBB"/>
    <w:rsid w:val="782B066D"/>
    <w:rsid w:val="782B688F"/>
    <w:rsid w:val="782E1AFE"/>
    <w:rsid w:val="782FF30F"/>
    <w:rsid w:val="7834E01C"/>
    <w:rsid w:val="7836EB8F"/>
    <w:rsid w:val="7839C681"/>
    <w:rsid w:val="78407AC2"/>
    <w:rsid w:val="784146A7"/>
    <w:rsid w:val="78434DBB"/>
    <w:rsid w:val="78446701"/>
    <w:rsid w:val="7845F4DC"/>
    <w:rsid w:val="7847DDCB"/>
    <w:rsid w:val="7848B395"/>
    <w:rsid w:val="784CDD19"/>
    <w:rsid w:val="784D5330"/>
    <w:rsid w:val="784FD779"/>
    <w:rsid w:val="785050FB"/>
    <w:rsid w:val="78520256"/>
    <w:rsid w:val="78553C38"/>
    <w:rsid w:val="785972E5"/>
    <w:rsid w:val="7859AAEF"/>
    <w:rsid w:val="7859E8FF"/>
    <w:rsid w:val="785A9BA9"/>
    <w:rsid w:val="785ABAC2"/>
    <w:rsid w:val="785B7BF5"/>
    <w:rsid w:val="785DF182"/>
    <w:rsid w:val="7860D217"/>
    <w:rsid w:val="78619EAF"/>
    <w:rsid w:val="7861A95F"/>
    <w:rsid w:val="7861BA0F"/>
    <w:rsid w:val="78696465"/>
    <w:rsid w:val="786991FD"/>
    <w:rsid w:val="786EE52E"/>
    <w:rsid w:val="786F3BAE"/>
    <w:rsid w:val="786FE6F1"/>
    <w:rsid w:val="787B25D7"/>
    <w:rsid w:val="787CAE56"/>
    <w:rsid w:val="787CFD39"/>
    <w:rsid w:val="78801AA8"/>
    <w:rsid w:val="78802910"/>
    <w:rsid w:val="7882FE83"/>
    <w:rsid w:val="788362CC"/>
    <w:rsid w:val="788363A4"/>
    <w:rsid w:val="78842D95"/>
    <w:rsid w:val="788B660C"/>
    <w:rsid w:val="788B8654"/>
    <w:rsid w:val="7894EE6C"/>
    <w:rsid w:val="7895906F"/>
    <w:rsid w:val="7896028C"/>
    <w:rsid w:val="789D1105"/>
    <w:rsid w:val="78A57157"/>
    <w:rsid w:val="78A8C78B"/>
    <w:rsid w:val="78AAC87D"/>
    <w:rsid w:val="78AE6FA1"/>
    <w:rsid w:val="78B0CAE8"/>
    <w:rsid w:val="78B167FB"/>
    <w:rsid w:val="78B3D692"/>
    <w:rsid w:val="78B4252F"/>
    <w:rsid w:val="78B472C4"/>
    <w:rsid w:val="78B5E7D6"/>
    <w:rsid w:val="78B62FA9"/>
    <w:rsid w:val="78B7DAAD"/>
    <w:rsid w:val="78B847D5"/>
    <w:rsid w:val="78BAB44B"/>
    <w:rsid w:val="78BF6DC7"/>
    <w:rsid w:val="78C4A254"/>
    <w:rsid w:val="78C7D054"/>
    <w:rsid w:val="78C8E5F6"/>
    <w:rsid w:val="78C91829"/>
    <w:rsid w:val="78C9E65A"/>
    <w:rsid w:val="78CD9516"/>
    <w:rsid w:val="78CFD722"/>
    <w:rsid w:val="78D2DB6E"/>
    <w:rsid w:val="78D9E31A"/>
    <w:rsid w:val="78DA53E0"/>
    <w:rsid w:val="78DC6467"/>
    <w:rsid w:val="78E29BFC"/>
    <w:rsid w:val="78E3588D"/>
    <w:rsid w:val="78E832B5"/>
    <w:rsid w:val="78E87CD4"/>
    <w:rsid w:val="78EA48A7"/>
    <w:rsid w:val="78EBBBD3"/>
    <w:rsid w:val="78EE9542"/>
    <w:rsid w:val="78F2FA2E"/>
    <w:rsid w:val="78F3A55A"/>
    <w:rsid w:val="78F5FD4C"/>
    <w:rsid w:val="78FA0FED"/>
    <w:rsid w:val="78FD0276"/>
    <w:rsid w:val="7900E83B"/>
    <w:rsid w:val="79034C8D"/>
    <w:rsid w:val="79048C3F"/>
    <w:rsid w:val="7904C10B"/>
    <w:rsid w:val="7906B2CD"/>
    <w:rsid w:val="790AD4C4"/>
    <w:rsid w:val="790B9C64"/>
    <w:rsid w:val="790D0225"/>
    <w:rsid w:val="790E6699"/>
    <w:rsid w:val="790E8D31"/>
    <w:rsid w:val="790EE519"/>
    <w:rsid w:val="7913A293"/>
    <w:rsid w:val="7913C492"/>
    <w:rsid w:val="79149176"/>
    <w:rsid w:val="7918F67B"/>
    <w:rsid w:val="791F00CC"/>
    <w:rsid w:val="7920B68B"/>
    <w:rsid w:val="79242085"/>
    <w:rsid w:val="7926AB4D"/>
    <w:rsid w:val="79286B49"/>
    <w:rsid w:val="792B31FD"/>
    <w:rsid w:val="792BFD64"/>
    <w:rsid w:val="79303AAC"/>
    <w:rsid w:val="7930FE53"/>
    <w:rsid w:val="79315044"/>
    <w:rsid w:val="7931C583"/>
    <w:rsid w:val="793CE3F9"/>
    <w:rsid w:val="793D52DD"/>
    <w:rsid w:val="793F425A"/>
    <w:rsid w:val="79419B63"/>
    <w:rsid w:val="79474065"/>
    <w:rsid w:val="79480310"/>
    <w:rsid w:val="7948481D"/>
    <w:rsid w:val="794989E9"/>
    <w:rsid w:val="794E6DB6"/>
    <w:rsid w:val="7957F590"/>
    <w:rsid w:val="7960AB08"/>
    <w:rsid w:val="79628674"/>
    <w:rsid w:val="79631B94"/>
    <w:rsid w:val="7963AC97"/>
    <w:rsid w:val="796CCD6F"/>
    <w:rsid w:val="797022EE"/>
    <w:rsid w:val="79706980"/>
    <w:rsid w:val="797358A8"/>
    <w:rsid w:val="7974BC71"/>
    <w:rsid w:val="797FEC55"/>
    <w:rsid w:val="79806B2B"/>
    <w:rsid w:val="79821EB9"/>
    <w:rsid w:val="79839D90"/>
    <w:rsid w:val="7988F028"/>
    <w:rsid w:val="79894307"/>
    <w:rsid w:val="798B0890"/>
    <w:rsid w:val="798F409B"/>
    <w:rsid w:val="7990E20C"/>
    <w:rsid w:val="7992C507"/>
    <w:rsid w:val="7994A812"/>
    <w:rsid w:val="79968E66"/>
    <w:rsid w:val="79978C7D"/>
    <w:rsid w:val="79A3CAC6"/>
    <w:rsid w:val="79AA13B4"/>
    <w:rsid w:val="79AA242F"/>
    <w:rsid w:val="79AA6432"/>
    <w:rsid w:val="79AB7227"/>
    <w:rsid w:val="79ACFC9C"/>
    <w:rsid w:val="79AF1CF1"/>
    <w:rsid w:val="79B3AF60"/>
    <w:rsid w:val="79B5BEF9"/>
    <w:rsid w:val="79B7B573"/>
    <w:rsid w:val="79BCC86A"/>
    <w:rsid w:val="79BD406C"/>
    <w:rsid w:val="79BE99BE"/>
    <w:rsid w:val="79C44FB0"/>
    <w:rsid w:val="79C520CA"/>
    <w:rsid w:val="79C5BCFF"/>
    <w:rsid w:val="79C94C24"/>
    <w:rsid w:val="79CB6125"/>
    <w:rsid w:val="79CC4EA2"/>
    <w:rsid w:val="79CDF2B6"/>
    <w:rsid w:val="79D09C67"/>
    <w:rsid w:val="79D0BBB3"/>
    <w:rsid w:val="79D2EB08"/>
    <w:rsid w:val="79D344B1"/>
    <w:rsid w:val="79D637E5"/>
    <w:rsid w:val="79D7DB20"/>
    <w:rsid w:val="79D92C34"/>
    <w:rsid w:val="79DB2695"/>
    <w:rsid w:val="79DB6489"/>
    <w:rsid w:val="79DC0022"/>
    <w:rsid w:val="79E0490A"/>
    <w:rsid w:val="79E0DEAD"/>
    <w:rsid w:val="79E1D822"/>
    <w:rsid w:val="79FCF072"/>
    <w:rsid w:val="79FF362C"/>
    <w:rsid w:val="7A04F26A"/>
    <w:rsid w:val="7A0852E3"/>
    <w:rsid w:val="7A0BEF81"/>
    <w:rsid w:val="7A0D978D"/>
    <w:rsid w:val="7A135E1E"/>
    <w:rsid w:val="7A18638E"/>
    <w:rsid w:val="7A19DD22"/>
    <w:rsid w:val="7A1C440B"/>
    <w:rsid w:val="7A1EEBA3"/>
    <w:rsid w:val="7A2444EC"/>
    <w:rsid w:val="7A2756B5"/>
    <w:rsid w:val="7A30230E"/>
    <w:rsid w:val="7A30F021"/>
    <w:rsid w:val="7A361AD5"/>
    <w:rsid w:val="7A3DCF76"/>
    <w:rsid w:val="7A3FAB79"/>
    <w:rsid w:val="7A400CFB"/>
    <w:rsid w:val="7A449BF5"/>
    <w:rsid w:val="7A45A4B4"/>
    <w:rsid w:val="7A460A85"/>
    <w:rsid w:val="7A4E09AF"/>
    <w:rsid w:val="7A4EC40B"/>
    <w:rsid w:val="7A55F44C"/>
    <w:rsid w:val="7A58E74F"/>
    <w:rsid w:val="7A599ACA"/>
    <w:rsid w:val="7A5DEE8D"/>
    <w:rsid w:val="7A5E3D81"/>
    <w:rsid w:val="7A6668D7"/>
    <w:rsid w:val="7A68712F"/>
    <w:rsid w:val="7A6BFBBE"/>
    <w:rsid w:val="7A6E5724"/>
    <w:rsid w:val="7A6FC6DC"/>
    <w:rsid w:val="7A7636D1"/>
    <w:rsid w:val="7A77ED06"/>
    <w:rsid w:val="7A793C4A"/>
    <w:rsid w:val="7A79A267"/>
    <w:rsid w:val="7A842423"/>
    <w:rsid w:val="7A875F2E"/>
    <w:rsid w:val="7A8AC51F"/>
    <w:rsid w:val="7A8CB54B"/>
    <w:rsid w:val="7A917986"/>
    <w:rsid w:val="7A94FEAE"/>
    <w:rsid w:val="7A98EF67"/>
    <w:rsid w:val="7A9B226F"/>
    <w:rsid w:val="7AA009F8"/>
    <w:rsid w:val="7AA278CE"/>
    <w:rsid w:val="7AA35CCD"/>
    <w:rsid w:val="7AA500FA"/>
    <w:rsid w:val="7AA5532A"/>
    <w:rsid w:val="7AAF5D64"/>
    <w:rsid w:val="7AB07B2A"/>
    <w:rsid w:val="7AC43BAA"/>
    <w:rsid w:val="7AC79F1C"/>
    <w:rsid w:val="7AC982F8"/>
    <w:rsid w:val="7ACAC36B"/>
    <w:rsid w:val="7ACE4BD5"/>
    <w:rsid w:val="7AD26CC0"/>
    <w:rsid w:val="7AD5CCC4"/>
    <w:rsid w:val="7AD881B8"/>
    <w:rsid w:val="7ADB8D58"/>
    <w:rsid w:val="7ADED169"/>
    <w:rsid w:val="7AE0687D"/>
    <w:rsid w:val="7AE82119"/>
    <w:rsid w:val="7AE971BF"/>
    <w:rsid w:val="7AEE55BE"/>
    <w:rsid w:val="7AF2814F"/>
    <w:rsid w:val="7AF3CA1C"/>
    <w:rsid w:val="7AF6878D"/>
    <w:rsid w:val="7AF93BDF"/>
    <w:rsid w:val="7B023A3E"/>
    <w:rsid w:val="7B0455EE"/>
    <w:rsid w:val="7B06572D"/>
    <w:rsid w:val="7B08940F"/>
    <w:rsid w:val="7B0B5CD8"/>
    <w:rsid w:val="7B0F5183"/>
    <w:rsid w:val="7B0FBDA6"/>
    <w:rsid w:val="7B0FEA38"/>
    <w:rsid w:val="7B1595C6"/>
    <w:rsid w:val="7B1C5303"/>
    <w:rsid w:val="7B1CC0C4"/>
    <w:rsid w:val="7B1ECB42"/>
    <w:rsid w:val="7B23B2B7"/>
    <w:rsid w:val="7B23FC17"/>
    <w:rsid w:val="7B27BC43"/>
    <w:rsid w:val="7B2A19B4"/>
    <w:rsid w:val="7B2B40DB"/>
    <w:rsid w:val="7B2F322E"/>
    <w:rsid w:val="7B30A3CB"/>
    <w:rsid w:val="7B35D9B3"/>
    <w:rsid w:val="7B3652B2"/>
    <w:rsid w:val="7B38B2E0"/>
    <w:rsid w:val="7B3ACC8C"/>
    <w:rsid w:val="7B3C194C"/>
    <w:rsid w:val="7B4CC867"/>
    <w:rsid w:val="7B4F04A8"/>
    <w:rsid w:val="7B4F8CF4"/>
    <w:rsid w:val="7B515F3E"/>
    <w:rsid w:val="7B551A2D"/>
    <w:rsid w:val="7B58E051"/>
    <w:rsid w:val="7B5AF3B3"/>
    <w:rsid w:val="7B5D6CA8"/>
    <w:rsid w:val="7B5F487B"/>
    <w:rsid w:val="7B5F6AC7"/>
    <w:rsid w:val="7B622D65"/>
    <w:rsid w:val="7B6558E1"/>
    <w:rsid w:val="7B684F6C"/>
    <w:rsid w:val="7B6D229E"/>
    <w:rsid w:val="7B6FBCCB"/>
    <w:rsid w:val="7B71BE82"/>
    <w:rsid w:val="7B7ADA92"/>
    <w:rsid w:val="7B7CDA1F"/>
    <w:rsid w:val="7B87ED90"/>
    <w:rsid w:val="7B88D3B2"/>
    <w:rsid w:val="7B8AA4D4"/>
    <w:rsid w:val="7B8AB46B"/>
    <w:rsid w:val="7B8BD63A"/>
    <w:rsid w:val="7B915E68"/>
    <w:rsid w:val="7B9856BC"/>
    <w:rsid w:val="7B9A43D6"/>
    <w:rsid w:val="7B9A6859"/>
    <w:rsid w:val="7B9D0C55"/>
    <w:rsid w:val="7BA045A4"/>
    <w:rsid w:val="7BA2AE72"/>
    <w:rsid w:val="7BA481B6"/>
    <w:rsid w:val="7BA768A4"/>
    <w:rsid w:val="7BA7BF46"/>
    <w:rsid w:val="7BA91726"/>
    <w:rsid w:val="7BA96537"/>
    <w:rsid w:val="7BAB80CE"/>
    <w:rsid w:val="7BB6F1CC"/>
    <w:rsid w:val="7BB9BEE0"/>
    <w:rsid w:val="7BBA0560"/>
    <w:rsid w:val="7BBA5956"/>
    <w:rsid w:val="7BBAD98F"/>
    <w:rsid w:val="7BBEFA8A"/>
    <w:rsid w:val="7BC2A3FF"/>
    <w:rsid w:val="7BC615DD"/>
    <w:rsid w:val="7BC8114E"/>
    <w:rsid w:val="7BCBAE70"/>
    <w:rsid w:val="7BCFD8E1"/>
    <w:rsid w:val="7BD09034"/>
    <w:rsid w:val="7BD2BF9B"/>
    <w:rsid w:val="7BD6D61B"/>
    <w:rsid w:val="7BD867B7"/>
    <w:rsid w:val="7BD9B12B"/>
    <w:rsid w:val="7BD9E7F5"/>
    <w:rsid w:val="7BDB0FFF"/>
    <w:rsid w:val="7BDB59B2"/>
    <w:rsid w:val="7BE14B06"/>
    <w:rsid w:val="7BEA8768"/>
    <w:rsid w:val="7BEFD851"/>
    <w:rsid w:val="7BF3B56B"/>
    <w:rsid w:val="7BF6DE66"/>
    <w:rsid w:val="7BF765A0"/>
    <w:rsid w:val="7BFA0D40"/>
    <w:rsid w:val="7BFA9D58"/>
    <w:rsid w:val="7BFC6903"/>
    <w:rsid w:val="7BFD1AEA"/>
    <w:rsid w:val="7BFF55A3"/>
    <w:rsid w:val="7BFF6F76"/>
    <w:rsid w:val="7BFFF35C"/>
    <w:rsid w:val="7C0313E9"/>
    <w:rsid w:val="7C03FA29"/>
    <w:rsid w:val="7C0419EC"/>
    <w:rsid w:val="7C0659A4"/>
    <w:rsid w:val="7C0A36DD"/>
    <w:rsid w:val="7C0EA891"/>
    <w:rsid w:val="7C11CE77"/>
    <w:rsid w:val="7C12A372"/>
    <w:rsid w:val="7C13F8F6"/>
    <w:rsid w:val="7C170862"/>
    <w:rsid w:val="7C1A5C03"/>
    <w:rsid w:val="7C1BDE71"/>
    <w:rsid w:val="7C20AA6E"/>
    <w:rsid w:val="7C2118BC"/>
    <w:rsid w:val="7C22679A"/>
    <w:rsid w:val="7C290F22"/>
    <w:rsid w:val="7C2C145F"/>
    <w:rsid w:val="7C2FE57F"/>
    <w:rsid w:val="7C301651"/>
    <w:rsid w:val="7C333399"/>
    <w:rsid w:val="7C3AC5A9"/>
    <w:rsid w:val="7C3E58D1"/>
    <w:rsid w:val="7C430323"/>
    <w:rsid w:val="7C4399C7"/>
    <w:rsid w:val="7C4A1D55"/>
    <w:rsid w:val="7C4F98CC"/>
    <w:rsid w:val="7C51C5CA"/>
    <w:rsid w:val="7C574164"/>
    <w:rsid w:val="7C5BF231"/>
    <w:rsid w:val="7C64CFA9"/>
    <w:rsid w:val="7C64FE96"/>
    <w:rsid w:val="7C666E17"/>
    <w:rsid w:val="7C676705"/>
    <w:rsid w:val="7C6A748A"/>
    <w:rsid w:val="7C6D3030"/>
    <w:rsid w:val="7C6D6516"/>
    <w:rsid w:val="7C6E8A99"/>
    <w:rsid w:val="7C6ED383"/>
    <w:rsid w:val="7C6F0FF8"/>
    <w:rsid w:val="7C6FAC7A"/>
    <w:rsid w:val="7C716EAB"/>
    <w:rsid w:val="7C72D8B7"/>
    <w:rsid w:val="7C7AFB36"/>
    <w:rsid w:val="7C7B3B2E"/>
    <w:rsid w:val="7C7BD1AB"/>
    <w:rsid w:val="7C7FA9FB"/>
    <w:rsid w:val="7C8338D4"/>
    <w:rsid w:val="7C84BAAA"/>
    <w:rsid w:val="7C8CDE8D"/>
    <w:rsid w:val="7C8D7CBF"/>
    <w:rsid w:val="7C8E79F2"/>
    <w:rsid w:val="7C90BC14"/>
    <w:rsid w:val="7C96D4B8"/>
    <w:rsid w:val="7C972D65"/>
    <w:rsid w:val="7C9AD28A"/>
    <w:rsid w:val="7C9CAC85"/>
    <w:rsid w:val="7C9F9091"/>
    <w:rsid w:val="7CA050E9"/>
    <w:rsid w:val="7CA10E2C"/>
    <w:rsid w:val="7CAD5480"/>
    <w:rsid w:val="7CB6AC7F"/>
    <w:rsid w:val="7CB950A4"/>
    <w:rsid w:val="7CB95D3B"/>
    <w:rsid w:val="7CB96578"/>
    <w:rsid w:val="7CBB55F6"/>
    <w:rsid w:val="7CBB7309"/>
    <w:rsid w:val="7CC039C0"/>
    <w:rsid w:val="7CC30640"/>
    <w:rsid w:val="7CC5D078"/>
    <w:rsid w:val="7CC79770"/>
    <w:rsid w:val="7CC7B0CC"/>
    <w:rsid w:val="7CC9CF8B"/>
    <w:rsid w:val="7CCE095B"/>
    <w:rsid w:val="7CD2CE00"/>
    <w:rsid w:val="7CD51A64"/>
    <w:rsid w:val="7CDC184D"/>
    <w:rsid w:val="7CE2D5CF"/>
    <w:rsid w:val="7CE50B89"/>
    <w:rsid w:val="7CEA4854"/>
    <w:rsid w:val="7CEB1A2B"/>
    <w:rsid w:val="7CEB4310"/>
    <w:rsid w:val="7CED7F30"/>
    <w:rsid w:val="7CF1CDB5"/>
    <w:rsid w:val="7CF6DE43"/>
    <w:rsid w:val="7CFA6E64"/>
    <w:rsid w:val="7CFA9FFA"/>
    <w:rsid w:val="7CFAAB4B"/>
    <w:rsid w:val="7CFC6903"/>
    <w:rsid w:val="7CFE7A25"/>
    <w:rsid w:val="7D03EAD3"/>
    <w:rsid w:val="7D05B360"/>
    <w:rsid w:val="7D0A15A7"/>
    <w:rsid w:val="7D0CC569"/>
    <w:rsid w:val="7D0EBFF8"/>
    <w:rsid w:val="7D109394"/>
    <w:rsid w:val="7D13F4C9"/>
    <w:rsid w:val="7D1504DA"/>
    <w:rsid w:val="7D158A62"/>
    <w:rsid w:val="7D1BCDEA"/>
    <w:rsid w:val="7D1C5C10"/>
    <w:rsid w:val="7D228EE3"/>
    <w:rsid w:val="7D23489C"/>
    <w:rsid w:val="7D2607B3"/>
    <w:rsid w:val="7D2817A5"/>
    <w:rsid w:val="7D28FA15"/>
    <w:rsid w:val="7D29133F"/>
    <w:rsid w:val="7D2C48A3"/>
    <w:rsid w:val="7D2C8963"/>
    <w:rsid w:val="7D348CD1"/>
    <w:rsid w:val="7D35F455"/>
    <w:rsid w:val="7D38306F"/>
    <w:rsid w:val="7D389AC9"/>
    <w:rsid w:val="7D3925FE"/>
    <w:rsid w:val="7D3D13D7"/>
    <w:rsid w:val="7D3EBBF0"/>
    <w:rsid w:val="7D448385"/>
    <w:rsid w:val="7D49C3FA"/>
    <w:rsid w:val="7D4AD36C"/>
    <w:rsid w:val="7D54F452"/>
    <w:rsid w:val="7D55D5C1"/>
    <w:rsid w:val="7D5605F9"/>
    <w:rsid w:val="7D562FED"/>
    <w:rsid w:val="7D56395F"/>
    <w:rsid w:val="7D573271"/>
    <w:rsid w:val="7D5E24DB"/>
    <w:rsid w:val="7D632B64"/>
    <w:rsid w:val="7D638EA8"/>
    <w:rsid w:val="7D64A6E5"/>
    <w:rsid w:val="7D661783"/>
    <w:rsid w:val="7D6CC400"/>
    <w:rsid w:val="7D7A97E2"/>
    <w:rsid w:val="7D81D4EE"/>
    <w:rsid w:val="7D8508ED"/>
    <w:rsid w:val="7D876CE2"/>
    <w:rsid w:val="7D8A853C"/>
    <w:rsid w:val="7D8CEDEC"/>
    <w:rsid w:val="7D91CA3B"/>
    <w:rsid w:val="7D91F384"/>
    <w:rsid w:val="7D920535"/>
    <w:rsid w:val="7D97CC6A"/>
    <w:rsid w:val="7D9BC3BD"/>
    <w:rsid w:val="7D9D936D"/>
    <w:rsid w:val="7DA19A5D"/>
    <w:rsid w:val="7DA2FF46"/>
    <w:rsid w:val="7DA717D8"/>
    <w:rsid w:val="7DAA2EE7"/>
    <w:rsid w:val="7DABD7E0"/>
    <w:rsid w:val="7DB2477E"/>
    <w:rsid w:val="7DB4DCE9"/>
    <w:rsid w:val="7DB76A5D"/>
    <w:rsid w:val="7DBBC7CA"/>
    <w:rsid w:val="7DBC50E5"/>
    <w:rsid w:val="7DBE6716"/>
    <w:rsid w:val="7DC3F84F"/>
    <w:rsid w:val="7DC58C7B"/>
    <w:rsid w:val="7DCA584B"/>
    <w:rsid w:val="7DCAAB40"/>
    <w:rsid w:val="7DCC5D51"/>
    <w:rsid w:val="7DD32A6E"/>
    <w:rsid w:val="7DD44A77"/>
    <w:rsid w:val="7DD49E2C"/>
    <w:rsid w:val="7DD5387E"/>
    <w:rsid w:val="7DD943DC"/>
    <w:rsid w:val="7DDB086B"/>
    <w:rsid w:val="7DDCA588"/>
    <w:rsid w:val="7DDD634F"/>
    <w:rsid w:val="7DDF2DF4"/>
    <w:rsid w:val="7DE2563C"/>
    <w:rsid w:val="7DE2B40F"/>
    <w:rsid w:val="7DE39D29"/>
    <w:rsid w:val="7DE4D2A0"/>
    <w:rsid w:val="7DE55135"/>
    <w:rsid w:val="7DE7341A"/>
    <w:rsid w:val="7DE7C863"/>
    <w:rsid w:val="7DE826CF"/>
    <w:rsid w:val="7DE8B822"/>
    <w:rsid w:val="7DE9F169"/>
    <w:rsid w:val="7DEC2AD4"/>
    <w:rsid w:val="7DEC50DD"/>
    <w:rsid w:val="7DEDA020"/>
    <w:rsid w:val="7DEF3496"/>
    <w:rsid w:val="7DF04E80"/>
    <w:rsid w:val="7DF0FEB7"/>
    <w:rsid w:val="7DF65B36"/>
    <w:rsid w:val="7DF85F85"/>
    <w:rsid w:val="7E03975F"/>
    <w:rsid w:val="7E057FDF"/>
    <w:rsid w:val="7E0B8B7F"/>
    <w:rsid w:val="7E107DBD"/>
    <w:rsid w:val="7E15A064"/>
    <w:rsid w:val="7E166A53"/>
    <w:rsid w:val="7E1708D9"/>
    <w:rsid w:val="7E1B698F"/>
    <w:rsid w:val="7E207CCA"/>
    <w:rsid w:val="7E27FD75"/>
    <w:rsid w:val="7E2A2106"/>
    <w:rsid w:val="7E306A38"/>
    <w:rsid w:val="7E329854"/>
    <w:rsid w:val="7E331761"/>
    <w:rsid w:val="7E38CFF8"/>
    <w:rsid w:val="7E3AB2DD"/>
    <w:rsid w:val="7E3E2A4A"/>
    <w:rsid w:val="7E3EC936"/>
    <w:rsid w:val="7E4402B6"/>
    <w:rsid w:val="7E458746"/>
    <w:rsid w:val="7E4828E2"/>
    <w:rsid w:val="7E4973A5"/>
    <w:rsid w:val="7E4B2FC3"/>
    <w:rsid w:val="7E4C7CF9"/>
    <w:rsid w:val="7E523292"/>
    <w:rsid w:val="7E5239BC"/>
    <w:rsid w:val="7E534552"/>
    <w:rsid w:val="7E537AC6"/>
    <w:rsid w:val="7E56B5C2"/>
    <w:rsid w:val="7E574A2C"/>
    <w:rsid w:val="7E575EC2"/>
    <w:rsid w:val="7E5AD351"/>
    <w:rsid w:val="7E5C43AE"/>
    <w:rsid w:val="7E61A0D9"/>
    <w:rsid w:val="7E65819F"/>
    <w:rsid w:val="7E6E41DE"/>
    <w:rsid w:val="7E6F693F"/>
    <w:rsid w:val="7E6FBC3F"/>
    <w:rsid w:val="7E70C6C9"/>
    <w:rsid w:val="7E71C5AC"/>
    <w:rsid w:val="7E74B292"/>
    <w:rsid w:val="7E74B9B1"/>
    <w:rsid w:val="7E7686F7"/>
    <w:rsid w:val="7E768F09"/>
    <w:rsid w:val="7E787BC6"/>
    <w:rsid w:val="7E7C03DE"/>
    <w:rsid w:val="7E7E993A"/>
    <w:rsid w:val="7E7EB53C"/>
    <w:rsid w:val="7E818AAE"/>
    <w:rsid w:val="7E84E6AD"/>
    <w:rsid w:val="7E85B755"/>
    <w:rsid w:val="7E87D215"/>
    <w:rsid w:val="7E8881E8"/>
    <w:rsid w:val="7E90947B"/>
    <w:rsid w:val="7E90D201"/>
    <w:rsid w:val="7E921D89"/>
    <w:rsid w:val="7E956088"/>
    <w:rsid w:val="7E97DF60"/>
    <w:rsid w:val="7E99C523"/>
    <w:rsid w:val="7E9F5D19"/>
    <w:rsid w:val="7EA5E608"/>
    <w:rsid w:val="7EA8632E"/>
    <w:rsid w:val="7EAA8320"/>
    <w:rsid w:val="7EAD0B12"/>
    <w:rsid w:val="7EAD0FA0"/>
    <w:rsid w:val="7EAFC375"/>
    <w:rsid w:val="7EB056E4"/>
    <w:rsid w:val="7EB144A9"/>
    <w:rsid w:val="7EB18D4C"/>
    <w:rsid w:val="7EB92887"/>
    <w:rsid w:val="7EBDEFFA"/>
    <w:rsid w:val="7EBF9DAD"/>
    <w:rsid w:val="7EBFE4AC"/>
    <w:rsid w:val="7EC03640"/>
    <w:rsid w:val="7EC2DAF9"/>
    <w:rsid w:val="7EC7540C"/>
    <w:rsid w:val="7EC840DA"/>
    <w:rsid w:val="7ED5DE2D"/>
    <w:rsid w:val="7EDC1A4A"/>
    <w:rsid w:val="7EDD18D2"/>
    <w:rsid w:val="7EE32769"/>
    <w:rsid w:val="7EE38E8C"/>
    <w:rsid w:val="7EE48E42"/>
    <w:rsid w:val="7EE4FDDA"/>
    <w:rsid w:val="7EEB6B36"/>
    <w:rsid w:val="7EF1A622"/>
    <w:rsid w:val="7EF2BEEB"/>
    <w:rsid w:val="7EF36DF3"/>
    <w:rsid w:val="7EFC98F0"/>
    <w:rsid w:val="7EFDF80A"/>
    <w:rsid w:val="7EFE0F4B"/>
    <w:rsid w:val="7F00249D"/>
    <w:rsid w:val="7F01CEA8"/>
    <w:rsid w:val="7F033F84"/>
    <w:rsid w:val="7F04B5B5"/>
    <w:rsid w:val="7F063B1F"/>
    <w:rsid w:val="7F08E820"/>
    <w:rsid w:val="7F0F8EE3"/>
    <w:rsid w:val="7F12CAAE"/>
    <w:rsid w:val="7F1409D6"/>
    <w:rsid w:val="7F1F5D56"/>
    <w:rsid w:val="7F210832"/>
    <w:rsid w:val="7F22352E"/>
    <w:rsid w:val="7F28A906"/>
    <w:rsid w:val="7F29F8B8"/>
    <w:rsid w:val="7F2F02A9"/>
    <w:rsid w:val="7F3A7234"/>
    <w:rsid w:val="7F3B3AF1"/>
    <w:rsid w:val="7F4116CD"/>
    <w:rsid w:val="7F461BFD"/>
    <w:rsid w:val="7F4662F3"/>
    <w:rsid w:val="7F47A841"/>
    <w:rsid w:val="7F4D3F6E"/>
    <w:rsid w:val="7F54F112"/>
    <w:rsid w:val="7F55502C"/>
    <w:rsid w:val="7F55C61F"/>
    <w:rsid w:val="7F5B016A"/>
    <w:rsid w:val="7F5C4694"/>
    <w:rsid w:val="7F5E83CB"/>
    <w:rsid w:val="7F63CAAA"/>
    <w:rsid w:val="7F66C44D"/>
    <w:rsid w:val="7F6D3C27"/>
    <w:rsid w:val="7F6E2FE7"/>
    <w:rsid w:val="7F73254E"/>
    <w:rsid w:val="7F77169D"/>
    <w:rsid w:val="7F7AAFE2"/>
    <w:rsid w:val="7F7D0AA3"/>
    <w:rsid w:val="7F8ADF3D"/>
    <w:rsid w:val="7F8ED66F"/>
    <w:rsid w:val="7F8FE6A6"/>
    <w:rsid w:val="7F943D5B"/>
    <w:rsid w:val="7F948549"/>
    <w:rsid w:val="7F989BE4"/>
    <w:rsid w:val="7F9A8E52"/>
    <w:rsid w:val="7F9B4459"/>
    <w:rsid w:val="7F9F492C"/>
    <w:rsid w:val="7F9FAEDF"/>
    <w:rsid w:val="7FA27708"/>
    <w:rsid w:val="7FA9B67D"/>
    <w:rsid w:val="7FAA01F0"/>
    <w:rsid w:val="7FAE212B"/>
    <w:rsid w:val="7FAEA614"/>
    <w:rsid w:val="7FB33FEB"/>
    <w:rsid w:val="7FBFF7DA"/>
    <w:rsid w:val="7FC094C0"/>
    <w:rsid w:val="7FC33BE0"/>
    <w:rsid w:val="7FCE05BB"/>
    <w:rsid w:val="7FCF7992"/>
    <w:rsid w:val="7FCF9873"/>
    <w:rsid w:val="7FD1187B"/>
    <w:rsid w:val="7FD11A08"/>
    <w:rsid w:val="7FD2A5E0"/>
    <w:rsid w:val="7FD469EC"/>
    <w:rsid w:val="7FD6C03F"/>
    <w:rsid w:val="7FD7329E"/>
    <w:rsid w:val="7FDB383F"/>
    <w:rsid w:val="7FE54406"/>
    <w:rsid w:val="7FE6ACC0"/>
    <w:rsid w:val="7FE87856"/>
    <w:rsid w:val="7FF106FC"/>
    <w:rsid w:val="7FF160D6"/>
    <w:rsid w:val="7FF313CB"/>
    <w:rsid w:val="7FF34AA1"/>
    <w:rsid w:val="7FF989C1"/>
    <w:rsid w:val="7FFA8495"/>
    <w:rsid w:val="7FFD46A3"/>
    <w:rsid w:val="7FFE61B9"/>
    <w:rsid w:val="7FFF8113"/>
    <w:rsid w:val="7FFF829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630B7"/>
  <w15:chartTrackingRefBased/>
  <w15:docId w15:val="{328305FC-88AB-42D7-986F-0DFD9ADAF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E63726"/>
    <w:pPr>
      <w:keepNext/>
      <w:keepLines/>
      <w:spacing w:before="240" w:after="0"/>
      <w:outlineLvl w:val="0"/>
    </w:pPr>
    <w:rPr>
      <w:rFonts w:asciiTheme="majorHAnsi" w:eastAsiaTheme="majorEastAsia" w:hAnsiTheme="majorHAnsi" w:cstheme="majorBidi"/>
      <w:color w:val="2F5496" w:themeColor="accent1" w:themeShade="BF"/>
      <w:sz w:val="32"/>
      <w:szCs w:val="32"/>
      <w:lang w:val="nl-NL"/>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Pr>
      <w:color w:val="0563C1" w:themeColor="hyperlink"/>
      <w:u w:val="single"/>
    </w:rPr>
  </w:style>
  <w:style w:type="paragraph" w:styleId="Lijstalinea">
    <w:name w:val="List Paragraph"/>
    <w:basedOn w:val="Standaard"/>
    <w:uiPriority w:val="34"/>
    <w:qFormat/>
    <w:pPr>
      <w:ind w:left="720"/>
      <w:contextualSpacing/>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181450"/>
    <w:rPr>
      <w:b/>
      <w:bCs/>
    </w:rPr>
  </w:style>
  <w:style w:type="character" w:customStyle="1" w:styleId="OnderwerpvanopmerkingChar">
    <w:name w:val="Onderwerp van opmerking Char"/>
    <w:basedOn w:val="TekstopmerkingChar"/>
    <w:link w:val="Onderwerpvanopmerking"/>
    <w:uiPriority w:val="99"/>
    <w:semiHidden/>
    <w:rsid w:val="00181450"/>
    <w:rPr>
      <w:b/>
      <w:bCs/>
      <w:sz w:val="20"/>
      <w:szCs w:val="20"/>
    </w:rPr>
  </w:style>
  <w:style w:type="paragraph" w:styleId="Ballontekst">
    <w:name w:val="Balloon Text"/>
    <w:basedOn w:val="Standaard"/>
    <w:link w:val="BallontekstChar"/>
    <w:uiPriority w:val="99"/>
    <w:semiHidden/>
    <w:unhideWhenUsed/>
    <w:rsid w:val="0078446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84461"/>
    <w:rPr>
      <w:rFonts w:ascii="Segoe UI" w:hAnsi="Segoe UI" w:cs="Segoe UI"/>
      <w:sz w:val="18"/>
      <w:szCs w:val="18"/>
    </w:rPr>
  </w:style>
  <w:style w:type="character" w:customStyle="1" w:styleId="Kop2Char">
    <w:name w:val="Kop 2 Char"/>
    <w:basedOn w:val="Standaardalinea-lettertype"/>
    <w:link w:val="Kop2"/>
    <w:uiPriority w:val="9"/>
    <w:rPr>
      <w:rFonts w:asciiTheme="majorHAnsi" w:eastAsiaTheme="majorEastAsia" w:hAnsiTheme="majorHAnsi" w:cstheme="majorBidi"/>
      <w:color w:val="2F5496" w:themeColor="accent1" w:themeShade="BF"/>
      <w:sz w:val="26"/>
      <w:szCs w:val="26"/>
    </w:rPr>
  </w:style>
  <w:style w:type="character" w:styleId="Voetnootmarkering">
    <w:name w:val="footnote reference"/>
    <w:basedOn w:val="Standaardalinea-lettertype"/>
    <w:uiPriority w:val="99"/>
    <w:semiHidden/>
    <w:unhideWhenUsed/>
    <w:rPr>
      <w:vertAlign w:val="superscript"/>
    </w:rPr>
  </w:style>
  <w:style w:type="character" w:customStyle="1" w:styleId="VoetnoottekstChar">
    <w:name w:val="Voetnoottekst Char"/>
    <w:basedOn w:val="Standaardalinea-lettertype"/>
    <w:link w:val="Voetnoottekst"/>
    <w:uiPriority w:val="99"/>
    <w:semiHidden/>
    <w:rPr>
      <w:sz w:val="20"/>
      <w:szCs w:val="20"/>
    </w:rPr>
  </w:style>
  <w:style w:type="paragraph" w:styleId="Voetnoottekst">
    <w:name w:val="footnote text"/>
    <w:basedOn w:val="Standaard"/>
    <w:link w:val="VoetnoottekstChar"/>
    <w:uiPriority w:val="99"/>
    <w:semiHidden/>
    <w:unhideWhenUsed/>
    <w:pPr>
      <w:spacing w:after="0" w:line="240" w:lineRule="auto"/>
    </w:pPr>
    <w:rPr>
      <w:sz w:val="20"/>
      <w:szCs w:val="20"/>
    </w:rPr>
  </w:style>
  <w:style w:type="paragraph" w:styleId="Koptekst">
    <w:name w:val="header"/>
    <w:basedOn w:val="Standaard"/>
    <w:link w:val="KoptekstChar"/>
    <w:uiPriority w:val="99"/>
    <w:unhideWhenUsed/>
    <w:rsid w:val="00BD172B"/>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BD172B"/>
  </w:style>
  <w:style w:type="paragraph" w:styleId="Voettekst">
    <w:name w:val="footer"/>
    <w:basedOn w:val="Standaard"/>
    <w:link w:val="VoettekstChar"/>
    <w:uiPriority w:val="99"/>
    <w:unhideWhenUsed/>
    <w:rsid w:val="00BD172B"/>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BD172B"/>
  </w:style>
  <w:style w:type="paragraph" w:styleId="Revisie">
    <w:name w:val="Revision"/>
    <w:hidden/>
    <w:uiPriority w:val="99"/>
    <w:semiHidden/>
    <w:rsid w:val="0046566D"/>
    <w:pPr>
      <w:spacing w:after="0" w:line="240" w:lineRule="auto"/>
    </w:pPr>
  </w:style>
  <w:style w:type="character" w:styleId="GevolgdeHyperlink">
    <w:name w:val="FollowedHyperlink"/>
    <w:basedOn w:val="Standaardalinea-lettertype"/>
    <w:uiPriority w:val="99"/>
    <w:semiHidden/>
    <w:unhideWhenUsed/>
    <w:rsid w:val="00332DB3"/>
    <w:rPr>
      <w:color w:val="954F72" w:themeColor="followedHyperlink"/>
      <w:u w:val="single"/>
    </w:rPr>
  </w:style>
  <w:style w:type="paragraph" w:styleId="Bibliografie">
    <w:name w:val="Bibliography"/>
    <w:basedOn w:val="Standaard"/>
    <w:next w:val="Standaard"/>
    <w:uiPriority w:val="37"/>
    <w:unhideWhenUsed/>
    <w:rsid w:val="003B7C68"/>
    <w:pPr>
      <w:tabs>
        <w:tab w:val="left" w:pos="504"/>
      </w:tabs>
      <w:spacing w:after="240" w:line="240" w:lineRule="auto"/>
      <w:ind w:left="504" w:hanging="504"/>
    </w:pPr>
  </w:style>
  <w:style w:type="paragraph" w:styleId="Normaalweb">
    <w:name w:val="Normal (Web)"/>
    <w:basedOn w:val="Standaard"/>
    <w:uiPriority w:val="99"/>
    <w:semiHidden/>
    <w:unhideWhenUsed/>
    <w:rsid w:val="00AC5C93"/>
    <w:pPr>
      <w:spacing w:before="100" w:beforeAutospacing="1" w:after="100" w:afterAutospacing="1" w:line="240" w:lineRule="auto"/>
    </w:pPr>
    <w:rPr>
      <w:rFonts w:ascii="Times New Roman" w:eastAsia="Times New Roman" w:hAnsi="Times New Roman" w:cs="Times New Roman"/>
      <w:sz w:val="24"/>
      <w:szCs w:val="24"/>
    </w:rPr>
  </w:style>
  <w:style w:type="paragraph" w:styleId="Geenafstand">
    <w:name w:val="No Spacing"/>
    <w:uiPriority w:val="1"/>
    <w:qFormat/>
    <w:rsid w:val="00727841"/>
    <w:pPr>
      <w:spacing w:after="0" w:line="240" w:lineRule="auto"/>
    </w:pPr>
  </w:style>
  <w:style w:type="table" w:styleId="Tabelrasterlicht">
    <w:name w:val="Grid Table Light"/>
    <w:basedOn w:val="Standaardtabel"/>
    <w:uiPriority w:val="40"/>
    <w:rsid w:val="001F2ED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Standaardalinea-lettertype"/>
    <w:uiPriority w:val="99"/>
    <w:semiHidden/>
    <w:unhideWhenUsed/>
    <w:rsid w:val="00B42E80"/>
    <w:rPr>
      <w:color w:val="605E5C"/>
      <w:shd w:val="clear" w:color="auto" w:fill="E1DFDD"/>
    </w:rPr>
  </w:style>
  <w:style w:type="character" w:customStyle="1" w:styleId="Kop1Char">
    <w:name w:val="Kop 1 Char"/>
    <w:basedOn w:val="Standaardalinea-lettertype"/>
    <w:link w:val="Kop1"/>
    <w:uiPriority w:val="9"/>
    <w:rsid w:val="00E63726"/>
    <w:rPr>
      <w:rFonts w:asciiTheme="majorHAnsi" w:eastAsiaTheme="majorEastAsia" w:hAnsiTheme="majorHAnsi" w:cstheme="majorBidi"/>
      <w:color w:val="2F5496" w:themeColor="accent1" w:themeShade="BF"/>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6278">
      <w:bodyDiv w:val="1"/>
      <w:marLeft w:val="0"/>
      <w:marRight w:val="0"/>
      <w:marTop w:val="0"/>
      <w:marBottom w:val="0"/>
      <w:divBdr>
        <w:top w:val="none" w:sz="0" w:space="0" w:color="auto"/>
        <w:left w:val="none" w:sz="0" w:space="0" w:color="auto"/>
        <w:bottom w:val="none" w:sz="0" w:space="0" w:color="auto"/>
        <w:right w:val="none" w:sz="0" w:space="0" w:color="auto"/>
      </w:divBdr>
    </w:div>
    <w:div w:id="208996289">
      <w:bodyDiv w:val="1"/>
      <w:marLeft w:val="0"/>
      <w:marRight w:val="0"/>
      <w:marTop w:val="0"/>
      <w:marBottom w:val="0"/>
      <w:divBdr>
        <w:top w:val="none" w:sz="0" w:space="0" w:color="auto"/>
        <w:left w:val="none" w:sz="0" w:space="0" w:color="auto"/>
        <w:bottom w:val="none" w:sz="0" w:space="0" w:color="auto"/>
        <w:right w:val="none" w:sz="0" w:space="0" w:color="auto"/>
      </w:divBdr>
    </w:div>
    <w:div w:id="411124503">
      <w:bodyDiv w:val="1"/>
      <w:marLeft w:val="0"/>
      <w:marRight w:val="0"/>
      <w:marTop w:val="0"/>
      <w:marBottom w:val="0"/>
      <w:divBdr>
        <w:top w:val="none" w:sz="0" w:space="0" w:color="auto"/>
        <w:left w:val="none" w:sz="0" w:space="0" w:color="auto"/>
        <w:bottom w:val="none" w:sz="0" w:space="0" w:color="auto"/>
        <w:right w:val="none" w:sz="0" w:space="0" w:color="auto"/>
      </w:divBdr>
    </w:div>
    <w:div w:id="412901414">
      <w:bodyDiv w:val="1"/>
      <w:marLeft w:val="0"/>
      <w:marRight w:val="0"/>
      <w:marTop w:val="0"/>
      <w:marBottom w:val="0"/>
      <w:divBdr>
        <w:top w:val="none" w:sz="0" w:space="0" w:color="auto"/>
        <w:left w:val="none" w:sz="0" w:space="0" w:color="auto"/>
        <w:bottom w:val="none" w:sz="0" w:space="0" w:color="auto"/>
        <w:right w:val="none" w:sz="0" w:space="0" w:color="auto"/>
      </w:divBdr>
    </w:div>
    <w:div w:id="1174151475">
      <w:bodyDiv w:val="1"/>
      <w:marLeft w:val="0"/>
      <w:marRight w:val="0"/>
      <w:marTop w:val="0"/>
      <w:marBottom w:val="0"/>
      <w:divBdr>
        <w:top w:val="none" w:sz="0" w:space="0" w:color="auto"/>
        <w:left w:val="none" w:sz="0" w:space="0" w:color="auto"/>
        <w:bottom w:val="none" w:sz="0" w:space="0" w:color="auto"/>
        <w:right w:val="none" w:sz="0" w:space="0" w:color="auto"/>
      </w:divBdr>
    </w:div>
    <w:div w:id="1241449569">
      <w:bodyDiv w:val="1"/>
      <w:marLeft w:val="0"/>
      <w:marRight w:val="0"/>
      <w:marTop w:val="0"/>
      <w:marBottom w:val="0"/>
      <w:divBdr>
        <w:top w:val="none" w:sz="0" w:space="0" w:color="auto"/>
        <w:left w:val="none" w:sz="0" w:space="0" w:color="auto"/>
        <w:bottom w:val="none" w:sz="0" w:space="0" w:color="auto"/>
        <w:right w:val="none" w:sz="0" w:space="0" w:color="auto"/>
      </w:divBdr>
    </w:div>
    <w:div w:id="1681615651">
      <w:bodyDiv w:val="1"/>
      <w:marLeft w:val="0"/>
      <w:marRight w:val="0"/>
      <w:marTop w:val="0"/>
      <w:marBottom w:val="0"/>
      <w:divBdr>
        <w:top w:val="none" w:sz="0" w:space="0" w:color="auto"/>
        <w:left w:val="none" w:sz="0" w:space="0" w:color="auto"/>
        <w:bottom w:val="none" w:sz="0" w:space="0" w:color="auto"/>
        <w:right w:val="none" w:sz="0" w:space="0" w:color="auto"/>
      </w:divBdr>
    </w:div>
    <w:div w:id="1826242884">
      <w:bodyDiv w:val="1"/>
      <w:marLeft w:val="0"/>
      <w:marRight w:val="0"/>
      <w:marTop w:val="0"/>
      <w:marBottom w:val="0"/>
      <w:divBdr>
        <w:top w:val="none" w:sz="0" w:space="0" w:color="auto"/>
        <w:left w:val="none" w:sz="0" w:space="0" w:color="auto"/>
        <w:bottom w:val="none" w:sz="0" w:space="0" w:color="auto"/>
        <w:right w:val="none" w:sz="0" w:space="0" w:color="auto"/>
      </w:divBdr>
    </w:div>
    <w:div w:id="1912620202">
      <w:bodyDiv w:val="1"/>
      <w:marLeft w:val="0"/>
      <w:marRight w:val="0"/>
      <w:marTop w:val="0"/>
      <w:marBottom w:val="0"/>
      <w:divBdr>
        <w:top w:val="none" w:sz="0" w:space="0" w:color="auto"/>
        <w:left w:val="none" w:sz="0" w:space="0" w:color="auto"/>
        <w:bottom w:val="none" w:sz="0" w:space="0" w:color="auto"/>
        <w:right w:val="none" w:sz="0" w:space="0" w:color="auto"/>
      </w:divBdr>
    </w:div>
    <w:div w:id="209443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ebofscience.com/wos/woscc/basic-search" TargetMode="External"/><Relationship Id="rId18" Type="http://schemas.openxmlformats.org/officeDocument/2006/relationships/hyperlink" Target="http://dx.doi.org/10.17605/OSF.IO/D65YS" TargetMode="External"/><Relationship Id="rId26" Type="http://schemas.openxmlformats.org/officeDocument/2006/relationships/hyperlink" Target="https://eric.ed.gov/" TargetMode="External"/><Relationship Id="rId39"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yperlink" Target="https://www.medline.com/" TargetMode="External"/><Relationship Id="rId34" Type="http://schemas.openxmlformats.org/officeDocument/2006/relationships/hyperlink" Target="http://dx.doi.org/10.17605/OSF.IO/7EF5H" TargetMode="External"/><Relationship Id="rId7" Type="http://schemas.openxmlformats.org/officeDocument/2006/relationships/settings" Target="settings.xml"/><Relationship Id="rId12" Type="http://schemas.openxmlformats.org/officeDocument/2006/relationships/hyperlink" Target="https://www.embase.com/" TargetMode="External"/><Relationship Id="rId17" Type="http://schemas.openxmlformats.org/officeDocument/2006/relationships/hyperlink" Target="http://dx.doi.org/10.17605/OSF.IO/D65YS" TargetMode="External"/><Relationship Id="rId25" Type="http://schemas.openxmlformats.org/officeDocument/2006/relationships/hyperlink" Target="https://www.scopus.com/home.uri" TargetMode="External"/><Relationship Id="rId33" Type="http://schemas.openxmlformats.org/officeDocument/2006/relationships/image" Target="media/image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ric.ed.gov/" TargetMode="External"/><Relationship Id="rId20" Type="http://schemas.openxmlformats.org/officeDocument/2006/relationships/hyperlink" Target="http://dx.doi.org/10.17605/OSF.IO/7EF5H"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edline.com/" TargetMode="External"/><Relationship Id="rId24" Type="http://schemas.openxmlformats.org/officeDocument/2006/relationships/hyperlink" Target="https://www.apa.org/pubs/databases/psycinfo" TargetMode="External"/><Relationship Id="rId32" Type="http://schemas.openxmlformats.org/officeDocument/2006/relationships/image" Target="media/image4.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copus.com/home.uri" TargetMode="External"/><Relationship Id="rId23" Type="http://schemas.openxmlformats.org/officeDocument/2006/relationships/hyperlink" Target="https://www.webofscience.com/wos/woscc/basic-search" TargetMode="External"/><Relationship Id="rId28" Type="http://schemas.openxmlformats.org/officeDocument/2006/relationships/hyperlink" Target="https://translate.google.com" TargetMode="External"/><Relationship Id="rId36" Type="http://schemas.openxmlformats.org/officeDocument/2006/relationships/hyperlink" Target="http://annals.org/aim/fullarticle/2700389/prisma-extension-scoping-reviews-prisma-scr-checklist-explanation" TargetMode="External"/><Relationship Id="rId10" Type="http://schemas.openxmlformats.org/officeDocument/2006/relationships/endnotes" Target="endnotes.xml"/><Relationship Id="rId19" Type="http://schemas.openxmlformats.org/officeDocument/2006/relationships/hyperlink" Target="http://dx.doi.org/10.17605/OSF.IO/7EF5H" TargetMode="External"/><Relationship Id="rId31"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pa.org/pubs/databases/psycinfo" TargetMode="External"/><Relationship Id="rId22" Type="http://schemas.openxmlformats.org/officeDocument/2006/relationships/hyperlink" Target="https://www.embase.com/" TargetMode="External"/><Relationship Id="rId27" Type="http://schemas.openxmlformats.org/officeDocument/2006/relationships/hyperlink" Target="https://endnote.com/?language=en" TargetMode="External"/><Relationship Id="rId30" Type="http://schemas.openxmlformats.org/officeDocument/2006/relationships/image" Target="media/image2.jpeg"/><Relationship Id="rId35" Type="http://schemas.openxmlformats.org/officeDocument/2006/relationships/hyperlink" Target="http://dx.doi.org/10.17605/OSF.IO/7EF5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536E9B841892D49AF6977589AB1F864" ma:contentTypeVersion="14" ma:contentTypeDescription="Ein neues Dokument erstellen." ma:contentTypeScope="" ma:versionID="cce5aa8285018d4599feb2362f28be6b">
  <xsd:schema xmlns:xsd="http://www.w3.org/2001/XMLSchema" xmlns:xs="http://www.w3.org/2001/XMLSchema" xmlns:p="http://schemas.microsoft.com/office/2006/metadata/properties" xmlns:ns2="00c870df-3191-487c-8bef-50456a568d73" xmlns:ns3="c91521ee-4e34-49cd-ac23-76985f325170" targetNamespace="http://schemas.microsoft.com/office/2006/metadata/properties" ma:root="true" ma:fieldsID="30f335c09292953a10fb9b2bbbe8da8b" ns2:_="" ns3:_="">
    <xsd:import namespace="00c870df-3191-487c-8bef-50456a568d73"/>
    <xsd:import namespace="c91521ee-4e34-49cd-ac23-76985f3251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SearchPropertie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870df-3191-487c-8bef-50456a568d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78b84ab8-3ae6-4b55-ace9-4cfd3103cc3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521ee-4e34-49cd-ac23-76985f325170"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9972e92c-afee-437f-ab0b-b22eba50b2d5}" ma:internalName="TaxCatchAll" ma:showField="CatchAllData" ma:web="c91521ee-4e34-49cd-ac23-76985f32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0c870df-3191-487c-8bef-50456a568d73">
      <Terms xmlns="http://schemas.microsoft.com/office/infopath/2007/PartnerControls"/>
    </lcf76f155ced4ddcb4097134ff3c332f>
    <TaxCatchAll xmlns="c91521ee-4e34-49cd-ac23-76985f32517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6FCC9-7725-4BA2-9638-5BD71C845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c870df-3191-487c-8bef-50456a568d73"/>
    <ds:schemaRef ds:uri="c91521ee-4e34-49cd-ac23-76985f32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53353D-5DDB-406B-8074-2B5E1C3AA81E}">
  <ds:schemaRefs>
    <ds:schemaRef ds:uri="http://schemas.microsoft.com/office/2006/metadata/properties"/>
    <ds:schemaRef ds:uri="http://schemas.microsoft.com/office/infopath/2007/PartnerControls"/>
    <ds:schemaRef ds:uri="00c870df-3191-487c-8bef-50456a568d73"/>
    <ds:schemaRef ds:uri="c91521ee-4e34-49cd-ac23-76985f325170"/>
  </ds:schemaRefs>
</ds:datastoreItem>
</file>

<file path=customXml/itemProps3.xml><?xml version="1.0" encoding="utf-8"?>
<ds:datastoreItem xmlns:ds="http://schemas.openxmlformats.org/officeDocument/2006/customXml" ds:itemID="{10AF221D-CBC2-46FB-A400-9852E50B32C4}">
  <ds:schemaRefs>
    <ds:schemaRef ds:uri="http://schemas.microsoft.com/sharepoint/v3/contenttype/forms"/>
  </ds:schemaRefs>
</ds:datastoreItem>
</file>

<file path=customXml/itemProps4.xml><?xml version="1.0" encoding="utf-8"?>
<ds:datastoreItem xmlns:ds="http://schemas.openxmlformats.org/officeDocument/2006/customXml" ds:itemID="{E0F5D1EE-FE94-4D69-B95B-013727E56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133937</Words>
  <Characters>736657</Characters>
  <Application>Microsoft Office Word</Application>
  <DocSecurity>0</DocSecurity>
  <Lines>6138</Lines>
  <Paragraphs>1737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Dudda, L.A. (Leonie)</dc:creator>
  <cp:keywords/>
  <dc:description/>
  <cp:lastModifiedBy>Leeflang, M.M.G. (Mariska)</cp:lastModifiedBy>
  <cp:revision>2</cp:revision>
  <cp:lastPrinted>2024-05-28T07:42:00Z</cp:lastPrinted>
  <dcterms:created xsi:type="dcterms:W3CDTF">2024-06-02T18:00:00Z</dcterms:created>
  <dcterms:modified xsi:type="dcterms:W3CDTF">2024-06-02T18:00:00Z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0x0101003536E9B841892D49AF6977589AB1F864</vt:lpwstr>
  </property>
  <property fmtid="{D5CDD505-2E9C-101B-9397-08002B2CF9AE}" pid="3" name="MediaServiceImageTags">
    <vt:lpwstr/>
  </property>
  <property fmtid="{D5CDD505-2E9C-101B-9397-08002B2CF9AE}" pid="4" name="ZOTERO_PREF_1">
    <vt:lpwstr>&lt;data data-version="3" zotero-version="6.0.36"&gt;&lt;session id="XuVlyhUO"/&gt;&lt;style id="http://www.zotero.org/styles/plos" hasBibliography="1" bibliographyStyleHasBeenSet="1"/&gt;&lt;prefs&gt;&lt;pref name="fieldType" value="Field"/&gt;&lt;pref name="automaticJournalAbbreviation</vt:lpwstr>
  </property>
  <property fmtid="{D5CDD505-2E9C-101B-9397-08002B2CF9AE}" pid="5" name="ZOTERO_PREF_2">
    <vt:lpwstr>s" value="true"/&gt;&lt;/prefs&gt;&lt;/data&gt;</vt:lpwstr>
  </property>
</Properties>
</file>